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7314D2" w14:textId="3A1FC2FD" w:rsidR="00334B98" w:rsidRPr="00636957" w:rsidRDefault="0082313C" w:rsidP="00054D0C">
      <w:pPr>
        <w:jc w:val="center"/>
        <w:rPr>
          <w:b/>
        </w:rPr>
      </w:pPr>
      <w:proofErr w:type="spellStart"/>
      <w:r>
        <w:rPr>
          <w:b/>
        </w:rPr>
        <w:t>Oxford-</w:t>
      </w:r>
      <w:r w:rsidR="00EB2D8B" w:rsidRPr="00636957">
        <w:rPr>
          <w:b/>
        </w:rPr>
        <w:t>Brain@McGill</w:t>
      </w:r>
      <w:r>
        <w:rPr>
          <w:b/>
        </w:rPr>
        <w:t>-ZNZ</w:t>
      </w:r>
      <w:proofErr w:type="spellEnd"/>
      <w:r w:rsidR="00054D0C">
        <w:rPr>
          <w:b/>
        </w:rPr>
        <w:t xml:space="preserve"> </w:t>
      </w:r>
      <w:r w:rsidR="00334B98" w:rsidRPr="00636957">
        <w:rPr>
          <w:b/>
        </w:rPr>
        <w:t>Partnership in the Neurosciences</w:t>
      </w:r>
    </w:p>
    <w:p w14:paraId="34F26B0C" w14:textId="77777777" w:rsidR="00334B98" w:rsidRPr="00636957" w:rsidRDefault="00334B98" w:rsidP="00334B98">
      <w:pPr>
        <w:jc w:val="center"/>
      </w:pPr>
    </w:p>
    <w:p w14:paraId="53016C06" w14:textId="6D44E2F6" w:rsidR="00334B98" w:rsidRPr="00636957" w:rsidRDefault="00F5229B" w:rsidP="00334B98">
      <w:pPr>
        <w:jc w:val="center"/>
        <w:rPr>
          <w:b/>
        </w:rPr>
      </w:pPr>
      <w:r w:rsidRPr="00636957">
        <w:rPr>
          <w:b/>
        </w:rPr>
        <w:t>Policy</w:t>
      </w:r>
      <w:r w:rsidR="00054D0C">
        <w:rPr>
          <w:b/>
        </w:rPr>
        <w:t>,</w:t>
      </w:r>
      <w:r w:rsidRPr="00636957">
        <w:rPr>
          <w:b/>
        </w:rPr>
        <w:t xml:space="preserve"> Organisation and Guidelines</w:t>
      </w:r>
    </w:p>
    <w:p w14:paraId="7899F2A6" w14:textId="77777777" w:rsidR="00334B98" w:rsidRPr="00636957" w:rsidRDefault="00334B98" w:rsidP="00334B98">
      <w:pPr>
        <w:rPr>
          <w:b/>
        </w:rPr>
      </w:pPr>
    </w:p>
    <w:p w14:paraId="44FECDA7" w14:textId="77777777" w:rsidR="00334B98" w:rsidRPr="00636957" w:rsidRDefault="00334B98" w:rsidP="00334B98">
      <w:pPr>
        <w:rPr>
          <w:b/>
        </w:rPr>
      </w:pPr>
      <w:r w:rsidRPr="00636957">
        <w:rPr>
          <w:b/>
        </w:rPr>
        <w:t>General principles</w:t>
      </w:r>
      <w:r w:rsidR="00AB2A4C">
        <w:rPr>
          <w:b/>
        </w:rPr>
        <w:t>:</w:t>
      </w:r>
    </w:p>
    <w:p w14:paraId="7E24698A" w14:textId="77777777" w:rsidR="00334B98" w:rsidRPr="00636957" w:rsidRDefault="00334B98" w:rsidP="00334B98"/>
    <w:p w14:paraId="55F1C639" w14:textId="298CCE76" w:rsidR="00636957" w:rsidRPr="00636957" w:rsidRDefault="000C7977" w:rsidP="00B04D87">
      <w:pPr>
        <w:widowControl w:val="0"/>
        <w:autoSpaceDE w:val="0"/>
        <w:autoSpaceDN w:val="0"/>
        <w:adjustRightInd w:val="0"/>
        <w:spacing w:line="240" w:lineRule="auto"/>
      </w:pPr>
      <w:r w:rsidRPr="00636957">
        <w:t>The XXI Century has</w:t>
      </w:r>
      <w:r w:rsidR="00131976" w:rsidRPr="00636957">
        <w:t xml:space="preserve"> already</w:t>
      </w:r>
      <w:r w:rsidR="00713F4C" w:rsidRPr="00636957">
        <w:t xml:space="preserve"> </w:t>
      </w:r>
      <w:r w:rsidR="00ED077B" w:rsidRPr="00636957">
        <w:t>witnessed impressive</w:t>
      </w:r>
      <w:r w:rsidR="00294049" w:rsidRPr="00636957">
        <w:t xml:space="preserve"> advances in the brain sciences</w:t>
      </w:r>
      <w:r w:rsidR="00B374DA" w:rsidRPr="00636957">
        <w:t xml:space="preserve"> </w:t>
      </w:r>
      <w:r w:rsidRPr="00636957">
        <w:t>made possible by new research initiati</w:t>
      </w:r>
      <w:r w:rsidR="003B2113" w:rsidRPr="00636957">
        <w:t>ves based on national partnershi</w:t>
      </w:r>
      <w:r w:rsidR="009341C4" w:rsidRPr="00636957">
        <w:t xml:space="preserve">ps and </w:t>
      </w:r>
      <w:r w:rsidR="003B2113" w:rsidRPr="00636957">
        <w:t xml:space="preserve">international </w:t>
      </w:r>
      <w:r w:rsidR="00E50848" w:rsidRPr="00636957">
        <w:t>collaborations</w:t>
      </w:r>
      <w:r w:rsidR="00636957" w:rsidRPr="00636957">
        <w:t xml:space="preserve">. </w:t>
      </w:r>
      <w:r w:rsidR="00012973" w:rsidRPr="00012973">
        <w:t xml:space="preserve">McGill, Oxford and the University of Zurich/ETH </w:t>
      </w:r>
      <w:r w:rsidR="00636957" w:rsidRPr="00636957">
        <w:t xml:space="preserve"> </w:t>
      </w:r>
      <w:r w:rsidR="005E18FB">
        <w:t xml:space="preserve">are </w:t>
      </w:r>
      <w:r w:rsidR="00636957" w:rsidRPr="00636957">
        <w:t>universit</w:t>
      </w:r>
      <w:r w:rsidR="005E18FB">
        <w:t xml:space="preserve">ies </w:t>
      </w:r>
      <w:r w:rsidR="00636957" w:rsidRPr="00636957">
        <w:t xml:space="preserve">of high international standing, and as such, </w:t>
      </w:r>
      <w:r w:rsidR="005E18FB">
        <w:t xml:space="preserve">their </w:t>
      </w:r>
      <w:r w:rsidR="00636957" w:rsidRPr="00636957">
        <w:t>facult</w:t>
      </w:r>
      <w:r w:rsidR="005E18FB">
        <w:t>ies</w:t>
      </w:r>
      <w:r w:rsidR="00636957" w:rsidRPr="00636957">
        <w:t xml:space="preserve"> can make important contributions to joint projects with other elite universities. </w:t>
      </w:r>
    </w:p>
    <w:p w14:paraId="374E528C" w14:textId="77777777" w:rsidR="00ED077B" w:rsidRPr="00636957" w:rsidRDefault="00ED077B" w:rsidP="00B374DA">
      <w:pPr>
        <w:widowControl w:val="0"/>
        <w:autoSpaceDE w:val="0"/>
        <w:autoSpaceDN w:val="0"/>
        <w:adjustRightInd w:val="0"/>
        <w:spacing w:line="240" w:lineRule="auto"/>
        <w:jc w:val="left"/>
        <w:rPr>
          <w:rFonts w:eastAsiaTheme="minorEastAsia" w:cs="TimesNewRomanPSMT"/>
          <w:lang w:val="en-US" w:eastAsia="ja-JP"/>
        </w:rPr>
      </w:pPr>
    </w:p>
    <w:p w14:paraId="52C19688" w14:textId="6FDB9ED6" w:rsidR="00B374DA" w:rsidRPr="00636957" w:rsidRDefault="00B374DA" w:rsidP="00B04D87">
      <w:pPr>
        <w:widowControl w:val="0"/>
        <w:autoSpaceDE w:val="0"/>
        <w:autoSpaceDN w:val="0"/>
        <w:adjustRightInd w:val="0"/>
        <w:spacing w:line="240" w:lineRule="auto"/>
        <w:rPr>
          <w:rFonts w:eastAsiaTheme="minorEastAsia" w:cs="TimesNewRomanPSMT"/>
          <w:lang w:val="en-US" w:eastAsia="ja-JP"/>
        </w:rPr>
      </w:pPr>
      <w:r w:rsidRPr="00636957">
        <w:rPr>
          <w:rFonts w:eastAsiaTheme="minorEastAsia" w:cs="TimesNewRomanPSMT"/>
          <w:lang w:val="en-US" w:eastAsia="ja-JP"/>
        </w:rPr>
        <w:t xml:space="preserve">On June 25, 2013, </w:t>
      </w:r>
      <w:proofErr w:type="spellStart"/>
      <w:r w:rsidRPr="00636957">
        <w:rPr>
          <w:rFonts w:eastAsiaTheme="minorEastAsia" w:cs="TimesNewRomanPSMT"/>
          <w:lang w:val="en-US" w:eastAsia="ja-JP"/>
        </w:rPr>
        <w:t>Brain@McGill</w:t>
      </w:r>
      <w:proofErr w:type="spellEnd"/>
      <w:r w:rsidRPr="00636957">
        <w:rPr>
          <w:rFonts w:eastAsiaTheme="minorEastAsia" w:cs="TimesNewRomanPSMT"/>
          <w:lang w:val="en-US" w:eastAsia="ja-JP"/>
        </w:rPr>
        <w:t>, the Neuroscience Center</w:t>
      </w:r>
      <w:r w:rsidR="005E18FB">
        <w:rPr>
          <w:rFonts w:eastAsiaTheme="minorEastAsia" w:cs="TimesNewRomanPSMT"/>
          <w:lang w:val="en-US" w:eastAsia="ja-JP"/>
        </w:rPr>
        <w:t xml:space="preserve"> Zurich</w:t>
      </w:r>
      <w:r w:rsidRPr="00636957">
        <w:rPr>
          <w:rFonts w:eastAsiaTheme="minorEastAsia" w:cs="TimesNewRomanPSMT"/>
          <w:lang w:val="en-US" w:eastAsia="ja-JP"/>
        </w:rPr>
        <w:t xml:space="preserve"> (ZNZ) and Oxford University formally launched a tripartite partnership</w:t>
      </w:r>
      <w:r w:rsidR="00131976" w:rsidRPr="00636957">
        <w:rPr>
          <w:rFonts w:eastAsiaTheme="minorEastAsia" w:cs="TimesNewRomanPSMT"/>
          <w:lang w:val="en-US" w:eastAsia="ja-JP"/>
        </w:rPr>
        <w:t xml:space="preserve"> </w:t>
      </w:r>
      <w:r w:rsidR="00775AE8">
        <w:rPr>
          <w:rFonts w:eastAsiaTheme="minorEastAsia" w:cs="TimesNewRomanPSMT"/>
          <w:lang w:val="en-US" w:eastAsia="ja-JP"/>
        </w:rPr>
        <w:t>in the n</w:t>
      </w:r>
      <w:r w:rsidR="00E22FE2" w:rsidRPr="00636957">
        <w:rPr>
          <w:rFonts w:eastAsiaTheme="minorEastAsia" w:cs="TimesNewRomanPSMT"/>
          <w:lang w:val="en-US" w:eastAsia="ja-JP"/>
        </w:rPr>
        <w:t>eurosciences</w:t>
      </w:r>
      <w:r w:rsidRPr="00636957">
        <w:rPr>
          <w:rFonts w:eastAsiaTheme="minorEastAsia" w:cs="TimesNewRomanPSMT"/>
          <w:lang w:val="en-US" w:eastAsia="ja-JP"/>
        </w:rPr>
        <w:t xml:space="preserve"> that culminates a series of successful jo</w:t>
      </w:r>
      <w:r w:rsidR="00EB2D8B" w:rsidRPr="00636957">
        <w:rPr>
          <w:rFonts w:eastAsiaTheme="minorEastAsia" w:cs="TimesNewRomanPSMT"/>
          <w:lang w:val="en-US" w:eastAsia="ja-JP"/>
        </w:rPr>
        <w:t xml:space="preserve">int projects carried </w:t>
      </w:r>
      <w:r w:rsidR="00E50848" w:rsidRPr="00636957">
        <w:rPr>
          <w:rFonts w:eastAsiaTheme="minorEastAsia" w:cs="TimesNewRomanPSMT"/>
          <w:lang w:val="en-US" w:eastAsia="ja-JP"/>
        </w:rPr>
        <w:t>out since</w:t>
      </w:r>
      <w:r w:rsidRPr="00636957">
        <w:rPr>
          <w:rFonts w:eastAsiaTheme="minorEastAsia" w:cs="TimesNewRomanPSMT"/>
          <w:lang w:val="en-US" w:eastAsia="ja-JP"/>
        </w:rPr>
        <w:t xml:space="preserve"> 2009 between laboratories in all 3 venues.</w:t>
      </w:r>
    </w:p>
    <w:p w14:paraId="67B8B8CB" w14:textId="77777777" w:rsidR="00EB2D8B" w:rsidRPr="00636957" w:rsidRDefault="00EB2D8B" w:rsidP="00B04D87">
      <w:pPr>
        <w:pStyle w:val="Default"/>
        <w:spacing w:after="120"/>
        <w:jc w:val="both"/>
        <w:rPr>
          <w:rFonts w:asciiTheme="minorHAnsi" w:hAnsiTheme="minorHAnsi" w:cs="TimesNewRomanPSMT"/>
          <w:sz w:val="22"/>
          <w:szCs w:val="22"/>
        </w:rPr>
      </w:pPr>
    </w:p>
    <w:p w14:paraId="34963856" w14:textId="36417B3A" w:rsidR="00C5384A" w:rsidRPr="00636957" w:rsidRDefault="00054D0C" w:rsidP="00B04D87">
      <w:pPr>
        <w:pStyle w:val="Default"/>
        <w:spacing w:after="120"/>
        <w:jc w:val="both"/>
        <w:rPr>
          <w:rFonts w:asciiTheme="minorHAnsi" w:hAnsiTheme="minorHAnsi"/>
          <w:color w:val="auto"/>
          <w:sz w:val="22"/>
          <w:szCs w:val="22"/>
        </w:rPr>
      </w:pPr>
      <w:r>
        <w:rPr>
          <w:rFonts w:asciiTheme="minorHAnsi" w:hAnsiTheme="minorHAnsi" w:cs="TimesNewRomanPSMT"/>
          <w:sz w:val="22"/>
          <w:szCs w:val="22"/>
        </w:rPr>
        <w:t>Under the</w:t>
      </w:r>
      <w:r w:rsidR="00B374DA" w:rsidRPr="00636957">
        <w:rPr>
          <w:rFonts w:asciiTheme="minorHAnsi" w:hAnsiTheme="minorHAnsi" w:cs="TimesNewRomanPSMT"/>
          <w:sz w:val="22"/>
          <w:szCs w:val="22"/>
        </w:rPr>
        <w:t xml:space="preserve"> agreement, researchers are expected to leverage the seed funding obtained </w:t>
      </w:r>
      <w:r w:rsidR="00EB2D8B" w:rsidRPr="00636957">
        <w:rPr>
          <w:rFonts w:asciiTheme="minorHAnsi" w:hAnsiTheme="minorHAnsi" w:cs="TimesNewRomanPSMT"/>
          <w:sz w:val="22"/>
          <w:szCs w:val="22"/>
        </w:rPr>
        <w:t xml:space="preserve">from the partnership </w:t>
      </w:r>
      <w:r w:rsidR="00B374DA" w:rsidRPr="00636957">
        <w:rPr>
          <w:rFonts w:asciiTheme="minorHAnsi" w:hAnsiTheme="minorHAnsi" w:cs="TimesNewRomanPSMT"/>
          <w:sz w:val="22"/>
          <w:szCs w:val="22"/>
        </w:rPr>
        <w:t xml:space="preserve">to apply for external research grants. </w:t>
      </w:r>
      <w:r w:rsidR="00C5384A" w:rsidRPr="00636957">
        <w:rPr>
          <w:rFonts w:asciiTheme="minorHAnsi" w:hAnsiTheme="minorHAnsi"/>
          <w:color w:val="000000" w:themeColor="text1"/>
          <w:sz w:val="22"/>
          <w:szCs w:val="22"/>
        </w:rPr>
        <w:t xml:space="preserve">This outcome remains the key </w:t>
      </w:r>
      <w:r w:rsidR="00EB2D8B" w:rsidRPr="00636957">
        <w:rPr>
          <w:rFonts w:asciiTheme="minorHAnsi" w:hAnsiTheme="minorHAnsi"/>
          <w:color w:val="000000" w:themeColor="text1"/>
          <w:sz w:val="22"/>
          <w:szCs w:val="22"/>
        </w:rPr>
        <w:t xml:space="preserve">objective of this collaborative </w:t>
      </w:r>
      <w:r w:rsidR="00C5384A" w:rsidRPr="00636957">
        <w:rPr>
          <w:rFonts w:asciiTheme="minorHAnsi" w:hAnsiTheme="minorHAnsi"/>
          <w:color w:val="000000" w:themeColor="text1"/>
          <w:sz w:val="22"/>
          <w:szCs w:val="22"/>
        </w:rPr>
        <w:t>program and is evaluated as such at the reporting stage.</w:t>
      </w:r>
    </w:p>
    <w:p w14:paraId="01FC0700" w14:textId="77777777" w:rsidR="00E50848" w:rsidRPr="00636957" w:rsidRDefault="00E50848" w:rsidP="00B04D87">
      <w:pPr>
        <w:widowControl w:val="0"/>
        <w:autoSpaceDE w:val="0"/>
        <w:autoSpaceDN w:val="0"/>
        <w:adjustRightInd w:val="0"/>
        <w:spacing w:line="240" w:lineRule="auto"/>
        <w:rPr>
          <w:rFonts w:eastAsiaTheme="minorEastAsia" w:cs="TimesNewRomanPSMT"/>
          <w:lang w:val="en-US" w:eastAsia="ja-JP"/>
        </w:rPr>
      </w:pPr>
    </w:p>
    <w:p w14:paraId="3CA5309D" w14:textId="707DB60F" w:rsidR="00B374DA" w:rsidRPr="00636957" w:rsidRDefault="00B374DA" w:rsidP="00B04D87">
      <w:pPr>
        <w:widowControl w:val="0"/>
        <w:autoSpaceDE w:val="0"/>
        <w:autoSpaceDN w:val="0"/>
        <w:adjustRightInd w:val="0"/>
        <w:spacing w:line="240" w:lineRule="auto"/>
        <w:rPr>
          <w:rFonts w:eastAsiaTheme="minorEastAsia" w:cs="TimesNewRomanPSMT"/>
          <w:lang w:val="en-US" w:eastAsia="ja-JP"/>
        </w:rPr>
      </w:pPr>
      <w:r w:rsidRPr="00636957">
        <w:rPr>
          <w:rFonts w:eastAsiaTheme="minorEastAsia" w:cs="TimesNewRomanPSMT"/>
          <w:lang w:val="en-US" w:eastAsia="ja-JP"/>
        </w:rPr>
        <w:t>Student mobility and training a</w:t>
      </w:r>
      <w:r w:rsidR="00734202" w:rsidRPr="00636957">
        <w:rPr>
          <w:rFonts w:eastAsiaTheme="minorEastAsia" w:cs="TimesNewRomanPSMT"/>
          <w:lang w:val="en-US" w:eastAsia="ja-JP"/>
        </w:rPr>
        <w:t>r</w:t>
      </w:r>
      <w:r w:rsidR="00EB2D8B" w:rsidRPr="00636957">
        <w:rPr>
          <w:rFonts w:eastAsiaTheme="minorEastAsia" w:cs="TimesNewRomanPSMT"/>
          <w:lang w:val="en-US" w:eastAsia="ja-JP"/>
        </w:rPr>
        <w:t>e also an integral part of this joint program</w:t>
      </w:r>
      <w:r w:rsidRPr="00636957">
        <w:rPr>
          <w:rFonts w:eastAsiaTheme="minorEastAsia" w:cs="TimesNewRomanPSMT"/>
          <w:lang w:val="en-US" w:eastAsia="ja-JP"/>
        </w:rPr>
        <w:t>.</w:t>
      </w:r>
      <w:r w:rsidR="00294049" w:rsidRPr="00636957">
        <w:rPr>
          <w:rFonts w:eastAsiaTheme="minorEastAsia" w:cs="TimesNewRomanPSMT"/>
          <w:lang w:val="en-US" w:eastAsia="ja-JP"/>
        </w:rPr>
        <w:t xml:space="preserve"> By providing a framework to promote and sustain ambitious research projects in em</w:t>
      </w:r>
      <w:r w:rsidR="00C5384A" w:rsidRPr="00636957">
        <w:rPr>
          <w:rFonts w:eastAsiaTheme="minorEastAsia" w:cs="TimesNewRomanPSMT"/>
          <w:lang w:val="en-US" w:eastAsia="ja-JP"/>
        </w:rPr>
        <w:t xml:space="preserve">erging fields of neuroscience, </w:t>
      </w:r>
      <w:r w:rsidR="00734202" w:rsidRPr="00636957">
        <w:rPr>
          <w:rFonts w:eastAsiaTheme="minorEastAsia" w:cs="TimesNewRomanPSMT"/>
          <w:lang w:val="en-US" w:eastAsia="ja-JP"/>
        </w:rPr>
        <w:t>the</w:t>
      </w:r>
      <w:r w:rsidR="00294049" w:rsidRPr="00636957">
        <w:rPr>
          <w:rFonts w:eastAsiaTheme="minorEastAsia" w:cs="TimesNewRomanPSMT"/>
          <w:lang w:val="en-US" w:eastAsia="ja-JP"/>
        </w:rPr>
        <w:t xml:space="preserve"> agreement facilitates exciting new international synergies and exchanges, exposing researchers to different scientific cultures. Such partnerships also help to move research forward at a faster pace and maximize research opportunities and support.</w:t>
      </w:r>
    </w:p>
    <w:p w14:paraId="2846D7EC" w14:textId="02F5458E" w:rsidR="00BB6998" w:rsidRDefault="004C314B" w:rsidP="00334B98">
      <w:r>
        <w:br/>
      </w:r>
    </w:p>
    <w:p w14:paraId="46E56F0E" w14:textId="6AE23417" w:rsidR="004C314B" w:rsidRPr="00AB2BDB" w:rsidRDefault="004C314B" w:rsidP="00334B98">
      <w:pPr>
        <w:rPr>
          <w:b/>
        </w:rPr>
      </w:pPr>
      <w:r w:rsidRPr="00AB2BDB">
        <w:rPr>
          <w:b/>
        </w:rPr>
        <w:t>Call for joint project proposals</w:t>
      </w:r>
    </w:p>
    <w:p w14:paraId="40D63DE5" w14:textId="77777777" w:rsidR="00EB2D8B" w:rsidRPr="00636957" w:rsidRDefault="00EB2D8B" w:rsidP="00334B98"/>
    <w:p w14:paraId="761146C4" w14:textId="77777777" w:rsidR="00EB2D8B" w:rsidRPr="00636957" w:rsidRDefault="00EB2D8B" w:rsidP="00B04D87">
      <w:pPr>
        <w:rPr>
          <w:rFonts w:cs="Tahoma"/>
        </w:rPr>
      </w:pPr>
      <w:r w:rsidRPr="00636957">
        <w:rPr>
          <w:rFonts w:cs="Tahoma"/>
        </w:rPr>
        <w:t xml:space="preserve">Joint applications may originate from any two or all three of the partner institutions. </w:t>
      </w:r>
    </w:p>
    <w:p w14:paraId="0FD4BF79" w14:textId="77777777" w:rsidR="00EB2D8B" w:rsidRPr="00636957" w:rsidRDefault="00EB2D8B" w:rsidP="00B04D87">
      <w:pPr>
        <w:rPr>
          <w:rFonts w:cs="Tahoma"/>
        </w:rPr>
      </w:pPr>
    </w:p>
    <w:p w14:paraId="6FC23894" w14:textId="091ED31B" w:rsidR="00334B98" w:rsidRPr="00636957" w:rsidRDefault="00EB2D8B" w:rsidP="00B04D87">
      <w:pPr>
        <w:rPr>
          <w:rFonts w:cs="Tahoma"/>
        </w:rPr>
      </w:pPr>
      <w:r w:rsidRPr="00636957">
        <w:t>Projects may encompass</w:t>
      </w:r>
      <w:r w:rsidR="00AB2BDB">
        <w:t xml:space="preserve"> any area</w:t>
      </w:r>
      <w:r w:rsidR="00E961E5" w:rsidRPr="00636957">
        <w:t xml:space="preserve"> </w:t>
      </w:r>
      <w:r w:rsidR="00AB2BDB">
        <w:t>relevant to the nervous system and its disorders</w:t>
      </w:r>
      <w:r w:rsidR="00334B98" w:rsidRPr="00636957">
        <w:t xml:space="preserve">. </w:t>
      </w:r>
      <w:r w:rsidR="00FA6D01" w:rsidRPr="00636957">
        <w:t xml:space="preserve"> </w:t>
      </w:r>
      <w:r w:rsidR="00FA6D01" w:rsidRPr="00636957">
        <w:rPr>
          <w:rFonts w:cs="Arial"/>
          <w:lang w:eastAsia="ja-JP"/>
        </w:rPr>
        <w:t>Preference is given to those pursuing new, innovative, or high-risk collaborative projects.</w:t>
      </w:r>
      <w:r w:rsidR="00E22FE2" w:rsidRPr="00636957">
        <w:rPr>
          <w:rFonts w:cs="Arial"/>
          <w:lang w:eastAsia="ja-JP"/>
        </w:rPr>
        <w:t xml:space="preserve"> </w:t>
      </w:r>
    </w:p>
    <w:p w14:paraId="09018BBE" w14:textId="77777777" w:rsidR="00334B98" w:rsidRPr="00636957" w:rsidRDefault="00334B98" w:rsidP="00B04D87">
      <w:pPr>
        <w:rPr>
          <w:rFonts w:cs="Tahoma"/>
        </w:rPr>
      </w:pPr>
    </w:p>
    <w:p w14:paraId="1B5AA2CF" w14:textId="5769764C" w:rsidR="00334B98" w:rsidRPr="00636957" w:rsidRDefault="00334B98" w:rsidP="00B04D87">
      <w:pPr>
        <w:rPr>
          <w:rFonts w:cs="Tahoma"/>
        </w:rPr>
      </w:pPr>
      <w:r w:rsidRPr="00636957">
        <w:rPr>
          <w:rFonts w:cs="Tahoma"/>
        </w:rPr>
        <w:t xml:space="preserve">Where appropriate, applicants should consider the potential translational outputs of their project e.g. novel targets, </w:t>
      </w:r>
      <w:r w:rsidRPr="00636957">
        <w:rPr>
          <w:rFonts w:cs="Tahoma"/>
          <w:i/>
        </w:rPr>
        <w:t>in vitro/in vivo</w:t>
      </w:r>
      <w:r w:rsidRPr="00636957">
        <w:rPr>
          <w:rFonts w:cs="Tahoma"/>
        </w:rPr>
        <w:t xml:space="preserve"> models, diagnostics, biomarkers and the development of novel therapies/interventions. </w:t>
      </w:r>
      <w:r w:rsidR="00FA6D01" w:rsidRPr="00636957">
        <w:rPr>
          <w:rFonts w:cs="Tahoma"/>
        </w:rPr>
        <w:t>In such cases</w:t>
      </w:r>
      <w:r w:rsidR="00775AE8">
        <w:rPr>
          <w:rFonts w:cs="Tahoma"/>
        </w:rPr>
        <w:t>,</w:t>
      </w:r>
      <w:r w:rsidR="00FA6D01" w:rsidRPr="00636957">
        <w:rPr>
          <w:rFonts w:cs="Tahoma"/>
        </w:rPr>
        <w:t xml:space="preserve"> the potential </w:t>
      </w:r>
      <w:r w:rsidR="00E50848" w:rsidRPr="00636957">
        <w:rPr>
          <w:rFonts w:cs="Tahoma"/>
        </w:rPr>
        <w:t xml:space="preserve">application to the understanding and/or treatment of </w:t>
      </w:r>
      <w:r w:rsidR="00FA6D01" w:rsidRPr="00636957">
        <w:rPr>
          <w:rFonts w:cs="Tahoma"/>
        </w:rPr>
        <w:t>neurologic and mental health disorders</w:t>
      </w:r>
      <w:r w:rsidR="00E50848" w:rsidRPr="00636957">
        <w:rPr>
          <w:rFonts w:cs="Tahoma"/>
        </w:rPr>
        <w:t xml:space="preserve"> in humans</w:t>
      </w:r>
      <w:r w:rsidR="00FA6D01" w:rsidRPr="00636957">
        <w:rPr>
          <w:rFonts w:cs="Tahoma"/>
        </w:rPr>
        <w:t xml:space="preserve"> should be clearly outlined in the application.</w:t>
      </w:r>
    </w:p>
    <w:p w14:paraId="7F24AE2C" w14:textId="77777777" w:rsidR="00334B98" w:rsidRPr="00636957" w:rsidRDefault="00334B98" w:rsidP="00B04D87">
      <w:pPr>
        <w:rPr>
          <w:rFonts w:cs="Tahoma"/>
        </w:rPr>
      </w:pPr>
    </w:p>
    <w:p w14:paraId="3D3AB90F" w14:textId="7603C40F" w:rsidR="00334B98" w:rsidRPr="00636957" w:rsidRDefault="00334B98" w:rsidP="00B04D87">
      <w:r w:rsidRPr="00636957">
        <w:rPr>
          <w:rFonts w:cs="Tahoma"/>
        </w:rPr>
        <w:t xml:space="preserve">Research projects should be new initiatives and funding will not be provided to extend existing awards/fellowships. Proposals should show </w:t>
      </w:r>
      <w:r w:rsidR="00E22FE2" w:rsidRPr="00636957">
        <w:rPr>
          <w:rFonts w:cs="Tahoma"/>
        </w:rPr>
        <w:t xml:space="preserve">scientific excellence with a </w:t>
      </w:r>
      <w:r w:rsidR="00E50848" w:rsidRPr="00636957">
        <w:t xml:space="preserve">clear evidence of added value and </w:t>
      </w:r>
      <w:r w:rsidRPr="00636957">
        <w:t>synergy between the groups</w:t>
      </w:r>
      <w:r w:rsidR="00C964A6">
        <w:t xml:space="preserve"> of the partner institutions</w:t>
      </w:r>
      <w:r w:rsidRPr="00636957">
        <w:t>.</w:t>
      </w:r>
    </w:p>
    <w:p w14:paraId="10DA3DA8" w14:textId="77777777" w:rsidR="003E273A" w:rsidRDefault="003E273A" w:rsidP="00334B98"/>
    <w:p w14:paraId="1F7C1B44" w14:textId="77777777" w:rsidR="002600FA" w:rsidRDefault="002600FA" w:rsidP="002600FA">
      <w:pPr>
        <w:rPr>
          <w:rFonts w:cs="Tahoma"/>
        </w:rPr>
      </w:pPr>
    </w:p>
    <w:p w14:paraId="772ED33F" w14:textId="77777777" w:rsidR="002600FA" w:rsidRDefault="002600FA" w:rsidP="002600FA">
      <w:pPr>
        <w:rPr>
          <w:rFonts w:cs="Tahoma"/>
        </w:rPr>
      </w:pPr>
      <w:r>
        <w:rPr>
          <w:rFonts w:cs="Tahoma"/>
        </w:rPr>
        <w:t>Applications may be made in two categories, ’joint workshops’ and ‘pilot projects’</w:t>
      </w:r>
    </w:p>
    <w:p w14:paraId="72504F13" w14:textId="77777777" w:rsidR="00E55BF4" w:rsidRDefault="00E55BF4" w:rsidP="002600FA">
      <w:pPr>
        <w:spacing w:line="240" w:lineRule="auto"/>
        <w:jc w:val="left"/>
        <w:rPr>
          <w:rFonts w:eastAsia="Times New Roman" w:cs="Arial"/>
          <w:b/>
          <w:szCs w:val="25"/>
          <w:lang w:val="en-CA" w:eastAsia="en-CA"/>
        </w:rPr>
      </w:pPr>
    </w:p>
    <w:p w14:paraId="0A2ABEB7" w14:textId="77777777" w:rsidR="00B04D87" w:rsidRDefault="00B04D87" w:rsidP="002600FA">
      <w:pPr>
        <w:spacing w:line="240" w:lineRule="auto"/>
        <w:jc w:val="left"/>
        <w:rPr>
          <w:rFonts w:eastAsia="Times New Roman" w:cs="Arial"/>
          <w:b/>
          <w:szCs w:val="25"/>
          <w:lang w:val="en-CA" w:eastAsia="en-CA"/>
        </w:rPr>
      </w:pPr>
    </w:p>
    <w:p w14:paraId="5A6B0608" w14:textId="77777777" w:rsidR="002600FA" w:rsidRPr="00AB2A4C" w:rsidRDefault="002600FA" w:rsidP="002600FA">
      <w:pPr>
        <w:spacing w:line="240" w:lineRule="auto"/>
        <w:jc w:val="left"/>
        <w:rPr>
          <w:rFonts w:eastAsia="Times New Roman" w:cs="Arial"/>
          <w:b/>
          <w:szCs w:val="25"/>
          <w:lang w:val="en-CA" w:eastAsia="en-CA"/>
        </w:rPr>
      </w:pPr>
      <w:proofErr w:type="gramStart"/>
      <w:r w:rsidRPr="00AB2A4C">
        <w:rPr>
          <w:rFonts w:eastAsia="Times New Roman" w:cs="Arial"/>
          <w:b/>
          <w:szCs w:val="25"/>
          <w:lang w:val="en-CA" w:eastAsia="en-CA"/>
        </w:rPr>
        <w:lastRenderedPageBreak/>
        <w:t>Joint  Workshops</w:t>
      </w:r>
      <w:proofErr w:type="gramEnd"/>
      <w:r w:rsidRPr="00AB2A4C">
        <w:rPr>
          <w:rFonts w:eastAsia="Times New Roman" w:cs="Arial"/>
          <w:b/>
          <w:szCs w:val="25"/>
          <w:lang w:val="en-CA" w:eastAsia="en-CA"/>
        </w:rPr>
        <w:t xml:space="preserve">: </w:t>
      </w:r>
    </w:p>
    <w:p w14:paraId="56D33B58" w14:textId="2D189C58" w:rsidR="002600FA" w:rsidRPr="002600FA" w:rsidRDefault="00B04D87" w:rsidP="00B04D87">
      <w:pPr>
        <w:spacing w:line="240" w:lineRule="auto"/>
        <w:rPr>
          <w:rFonts w:eastAsia="Times New Roman" w:cs="Arial"/>
          <w:szCs w:val="25"/>
          <w:lang w:val="en-CA" w:eastAsia="en-CA"/>
        </w:rPr>
      </w:pPr>
      <w:r>
        <w:rPr>
          <w:rFonts w:eastAsia="Times New Roman" w:cs="Arial"/>
          <w:szCs w:val="25"/>
          <w:lang w:val="en-CA" w:eastAsia="en-CA"/>
        </w:rPr>
        <w:t>T</w:t>
      </w:r>
      <w:r w:rsidR="002600FA" w:rsidRPr="002600FA">
        <w:rPr>
          <w:rFonts w:eastAsia="Times New Roman" w:cs="Arial"/>
          <w:szCs w:val="25"/>
          <w:lang w:val="en-CA" w:eastAsia="en-CA"/>
        </w:rPr>
        <w:t>o  discuss  areas  of  potential</w:t>
      </w:r>
      <w:r w:rsidR="00534FD4" w:rsidRPr="00534FD4">
        <w:rPr>
          <w:rFonts w:eastAsia="Times New Roman" w:cs="Arial"/>
          <w:szCs w:val="25"/>
          <w:lang w:val="en-CA" w:eastAsia="en-CA"/>
        </w:rPr>
        <w:t xml:space="preserve">  collaboration,  where  Oxford, </w:t>
      </w:r>
      <w:r w:rsidR="002600FA" w:rsidRPr="002600FA">
        <w:rPr>
          <w:rFonts w:eastAsia="Times New Roman" w:cs="Arial"/>
          <w:szCs w:val="25"/>
          <w:lang w:val="en-CA" w:eastAsia="en-CA"/>
        </w:rPr>
        <w:t xml:space="preserve">McGill </w:t>
      </w:r>
      <w:r w:rsidRPr="002600FA">
        <w:rPr>
          <w:rFonts w:eastAsia="Times New Roman" w:cs="Arial"/>
          <w:szCs w:val="25"/>
          <w:lang w:val="en-CA" w:eastAsia="en-CA"/>
        </w:rPr>
        <w:t> and  </w:t>
      </w:r>
      <w:r w:rsidRPr="00534FD4">
        <w:rPr>
          <w:rFonts w:eastAsia="Times New Roman" w:cs="Arial"/>
          <w:szCs w:val="25"/>
          <w:lang w:val="en-CA" w:eastAsia="en-CA"/>
        </w:rPr>
        <w:t>ZNZ</w:t>
      </w:r>
      <w:r w:rsidR="002600FA" w:rsidRPr="002600FA">
        <w:rPr>
          <w:rFonts w:eastAsia="Times New Roman" w:cs="Arial"/>
          <w:szCs w:val="25"/>
          <w:lang w:val="en-CA" w:eastAsia="en-CA"/>
        </w:rPr>
        <w:t> research</w:t>
      </w:r>
      <w:r w:rsidR="00534FD4" w:rsidRPr="00534FD4">
        <w:rPr>
          <w:rFonts w:eastAsia="Times New Roman" w:cs="Arial"/>
          <w:szCs w:val="25"/>
          <w:lang w:val="en-CA" w:eastAsia="en-CA"/>
        </w:rPr>
        <w:t xml:space="preserve"> </w:t>
      </w:r>
      <w:r w:rsidR="002600FA" w:rsidRPr="002600FA">
        <w:rPr>
          <w:rFonts w:eastAsia="Times New Roman" w:cs="Arial"/>
          <w:szCs w:val="25"/>
          <w:lang w:val="en-CA" w:eastAsia="en-CA"/>
        </w:rPr>
        <w:t xml:space="preserve">teams  present  their  own  data  and  showcase  their </w:t>
      </w:r>
      <w:r w:rsidR="00534FD4" w:rsidRPr="00534FD4">
        <w:rPr>
          <w:rFonts w:eastAsia="Times New Roman" w:cs="Arial"/>
          <w:szCs w:val="25"/>
          <w:lang w:val="en-CA" w:eastAsia="en-CA"/>
        </w:rPr>
        <w:t> own  research  capabilities. T</w:t>
      </w:r>
      <w:r w:rsidR="002600FA" w:rsidRPr="002600FA">
        <w:rPr>
          <w:rFonts w:eastAsia="Times New Roman" w:cs="Arial"/>
          <w:szCs w:val="25"/>
          <w:lang w:val="en-CA" w:eastAsia="en-CA"/>
        </w:rPr>
        <w:t>he  maximum  </w:t>
      </w:r>
      <w:r w:rsidR="00534FD4" w:rsidRPr="00534FD4">
        <w:rPr>
          <w:rFonts w:eastAsia="Times New Roman" w:cs="Arial"/>
          <w:szCs w:val="25"/>
          <w:lang w:val="en-CA" w:eastAsia="en-CA"/>
        </w:rPr>
        <w:t xml:space="preserve"> </w:t>
      </w:r>
      <w:r w:rsidR="002600FA" w:rsidRPr="002600FA">
        <w:rPr>
          <w:rFonts w:eastAsia="Times New Roman" w:cs="Arial"/>
          <w:szCs w:val="25"/>
          <w:lang w:val="en-CA" w:eastAsia="en-CA"/>
        </w:rPr>
        <w:t>amount  that  can  be  requested  for  a  workshop  is  C$</w:t>
      </w:r>
      <w:r w:rsidR="00775AE8">
        <w:rPr>
          <w:rFonts w:eastAsia="Times New Roman" w:cs="Arial"/>
          <w:szCs w:val="25"/>
          <w:lang w:val="en-CA" w:eastAsia="en-CA"/>
        </w:rPr>
        <w:t>10,000 or the equivalent in £GB/SFr.</w:t>
      </w:r>
    </w:p>
    <w:p w14:paraId="00988207" w14:textId="77777777" w:rsidR="002600FA" w:rsidRDefault="002600FA" w:rsidP="002600FA">
      <w:pPr>
        <w:rPr>
          <w:rFonts w:cs="Tahoma"/>
        </w:rPr>
      </w:pPr>
    </w:p>
    <w:p w14:paraId="75C0FEF6" w14:textId="77777777" w:rsidR="002600FA" w:rsidRPr="00AB2A4C" w:rsidRDefault="00AB2A4C" w:rsidP="00AB2A4C">
      <w:pPr>
        <w:spacing w:line="0" w:lineRule="atLeast"/>
        <w:rPr>
          <w:rFonts w:cs="Tahoma"/>
          <w:b/>
        </w:rPr>
      </w:pPr>
      <w:r w:rsidRPr="00AB2A4C">
        <w:rPr>
          <w:rFonts w:cs="Tahoma"/>
          <w:b/>
        </w:rPr>
        <w:t>Pilot projects:</w:t>
      </w:r>
    </w:p>
    <w:p w14:paraId="05C9F2B0" w14:textId="282B55D2" w:rsidR="008F4786" w:rsidRDefault="002600FA" w:rsidP="00ED20CD">
      <w:pPr>
        <w:spacing w:line="240" w:lineRule="auto"/>
      </w:pPr>
      <w:r>
        <w:t>P</w:t>
      </w:r>
      <w:r w:rsidRPr="00AD15BB">
        <w:t xml:space="preserve">ilot projects </w:t>
      </w:r>
      <w:r>
        <w:t xml:space="preserve">can explore the feasibility of a </w:t>
      </w:r>
      <w:r w:rsidR="00E55BF4">
        <w:t xml:space="preserve">new </w:t>
      </w:r>
      <w:r>
        <w:t>approach or research path</w:t>
      </w:r>
      <w:r w:rsidR="00E55BF4">
        <w:t xml:space="preserve"> and </w:t>
      </w:r>
      <w:r w:rsidR="00B04D87">
        <w:t xml:space="preserve">may </w:t>
      </w:r>
      <w:r w:rsidR="00E55BF4">
        <w:t xml:space="preserve">have </w:t>
      </w:r>
      <w:r w:rsidR="00B04D87">
        <w:t>duration</w:t>
      </w:r>
      <w:r w:rsidR="00E55BF4">
        <w:t xml:space="preserve"> of </w:t>
      </w:r>
      <w:r w:rsidR="00B04D87">
        <w:t xml:space="preserve">up to </w:t>
      </w:r>
      <w:r w:rsidR="00E55BF4">
        <w:t>one year</w:t>
      </w:r>
      <w:r>
        <w:t>.  These may take the form of a staff, graduate or postgraduate student exchange. However, undergraduate student exchanges will not be supported. The objective of a pilot project would be to generate preliminary data that will</w:t>
      </w:r>
      <w:r w:rsidRPr="00AD15BB">
        <w:t xml:space="preserve"> be used to support external </w:t>
      </w:r>
      <w:r>
        <w:t>research grant applications</w:t>
      </w:r>
      <w:r w:rsidR="00AB2A4C">
        <w:t xml:space="preserve"> which</w:t>
      </w:r>
      <w:r w:rsidRPr="00AD15BB">
        <w:t xml:space="preserve"> should be submitted within six</w:t>
      </w:r>
      <w:r>
        <w:t xml:space="preserve"> to twelve</w:t>
      </w:r>
      <w:r w:rsidRPr="00AD15BB">
        <w:t xml:space="preserve"> months of the completion of the award. The maximum </w:t>
      </w:r>
      <w:r>
        <w:t>amount</w:t>
      </w:r>
      <w:r w:rsidRPr="00AD15BB">
        <w:t xml:space="preserve"> that can be requested for a pilot project </w:t>
      </w:r>
      <w:r w:rsidR="00D463ED">
        <w:t>is</w:t>
      </w:r>
      <w:r>
        <w:t xml:space="preserve"> </w:t>
      </w:r>
      <w:r w:rsidR="000F4BB2">
        <w:t>C$30</w:t>
      </w:r>
      <w:r w:rsidR="00AB2A4C">
        <w:t>,000</w:t>
      </w:r>
      <w:r w:rsidR="00ED20CD">
        <w:t xml:space="preserve"> </w:t>
      </w:r>
      <w:r w:rsidR="00775AE8">
        <w:rPr>
          <w:rFonts w:eastAsia="Times New Roman" w:cs="Arial"/>
          <w:szCs w:val="25"/>
          <w:lang w:val="en-CA" w:eastAsia="en-CA"/>
        </w:rPr>
        <w:t>or the equivalent in £GB/SFr.</w:t>
      </w:r>
      <w:r w:rsidR="008F4786">
        <w:rPr>
          <w:rFonts w:eastAsia="Times New Roman" w:cs="Arial"/>
          <w:szCs w:val="25"/>
          <w:lang w:val="en-CA" w:eastAsia="en-CA"/>
        </w:rPr>
        <w:t xml:space="preserve"> </w:t>
      </w:r>
      <w:r>
        <w:t xml:space="preserve">The budget </w:t>
      </w:r>
      <w:r w:rsidR="00775AE8">
        <w:t>will usually be</w:t>
      </w:r>
      <w:r>
        <w:t xml:space="preserve"> split evenly between partners covering the activities of their own participating groups. </w:t>
      </w:r>
    </w:p>
    <w:p w14:paraId="30228E3A" w14:textId="77777777" w:rsidR="006074F7" w:rsidRDefault="006074F7" w:rsidP="00ED20CD">
      <w:pPr>
        <w:spacing w:line="240" w:lineRule="auto"/>
      </w:pPr>
    </w:p>
    <w:p w14:paraId="08021AF5" w14:textId="2F6FF758" w:rsidR="002600FA" w:rsidRPr="008F4786" w:rsidRDefault="002600FA" w:rsidP="00ED20CD">
      <w:pPr>
        <w:spacing w:line="240" w:lineRule="auto"/>
        <w:rPr>
          <w:rFonts w:eastAsia="Times New Roman" w:cs="Arial"/>
          <w:szCs w:val="25"/>
          <w:lang w:val="en-CA" w:eastAsia="en-CA"/>
        </w:rPr>
      </w:pPr>
      <w:r>
        <w:t>High risk approaches will be considered.  In these cases risk will be evaluated against the potential to deliver ground breaking results.</w:t>
      </w:r>
    </w:p>
    <w:p w14:paraId="51105BD5" w14:textId="77777777" w:rsidR="002600FA" w:rsidRDefault="002600FA" w:rsidP="002600FA">
      <w:pPr>
        <w:rPr>
          <w:lang w:val="en-US"/>
        </w:rPr>
      </w:pPr>
    </w:p>
    <w:p w14:paraId="2736B18F" w14:textId="77777777" w:rsidR="00216866" w:rsidRDefault="00216866" w:rsidP="00216866">
      <w:pPr>
        <w:rPr>
          <w:b/>
          <w:lang w:val="en-US"/>
        </w:rPr>
      </w:pPr>
    </w:p>
    <w:p w14:paraId="56E195A5" w14:textId="53F93599" w:rsidR="00216866" w:rsidRPr="00AA4998" w:rsidRDefault="00216866" w:rsidP="00216866">
      <w:pPr>
        <w:rPr>
          <w:b/>
          <w:lang w:val="en-US"/>
        </w:rPr>
      </w:pPr>
      <w:r>
        <w:rPr>
          <w:b/>
          <w:lang w:val="en-US"/>
        </w:rPr>
        <w:t>Time Line</w:t>
      </w:r>
    </w:p>
    <w:p w14:paraId="5A2ECC73" w14:textId="77777777" w:rsidR="00216866" w:rsidRDefault="00216866" w:rsidP="002600FA">
      <w:pPr>
        <w:rPr>
          <w:b/>
          <w:lang w:val="en-US"/>
        </w:rPr>
      </w:pPr>
    </w:p>
    <w:p w14:paraId="0C77FCE6" w14:textId="605A34DE" w:rsidR="00216866" w:rsidRPr="00216866" w:rsidRDefault="00216866" w:rsidP="00216866">
      <w:pPr>
        <w:pStyle w:val="ListParagraph"/>
        <w:numPr>
          <w:ilvl w:val="0"/>
          <w:numId w:val="10"/>
        </w:numPr>
        <w:shd w:val="clear" w:color="auto" w:fill="FFFFFF"/>
        <w:spacing w:line="360" w:lineRule="atLeast"/>
        <w:jc w:val="left"/>
        <w:rPr>
          <w:lang w:val="en-US"/>
        </w:rPr>
      </w:pPr>
      <w:r w:rsidRPr="00216866">
        <w:t>Call Announ</w:t>
      </w:r>
      <w:r w:rsidR="00915A31">
        <w:t>ced: Wednesday, 3 August 2016</w:t>
      </w:r>
    </w:p>
    <w:p w14:paraId="0745B8DD" w14:textId="718EC013" w:rsidR="00216866" w:rsidRPr="00216866" w:rsidRDefault="00216866" w:rsidP="00216866">
      <w:pPr>
        <w:numPr>
          <w:ilvl w:val="0"/>
          <w:numId w:val="10"/>
        </w:numPr>
        <w:shd w:val="clear" w:color="auto" w:fill="FFFFFF"/>
        <w:tabs>
          <w:tab w:val="clear" w:pos="360"/>
          <w:tab w:val="num" w:pos="720"/>
        </w:tabs>
        <w:spacing w:line="360" w:lineRule="atLeast"/>
        <w:jc w:val="left"/>
        <w:rPr>
          <w:rFonts w:eastAsia="Times New Roman"/>
          <w:lang w:val="en-US"/>
        </w:rPr>
      </w:pPr>
      <w:r w:rsidRPr="00216866">
        <w:rPr>
          <w:rFonts w:eastAsia="Times New Roman"/>
        </w:rPr>
        <w:t>Application Deadline: Monday</w:t>
      </w:r>
      <w:r w:rsidR="00915A31">
        <w:rPr>
          <w:rFonts w:eastAsia="Times New Roman"/>
        </w:rPr>
        <w:t>,</w:t>
      </w:r>
      <w:r w:rsidRPr="00216866">
        <w:rPr>
          <w:rFonts w:eastAsia="Times New Roman"/>
        </w:rPr>
        <w:t xml:space="preserve"> </w:t>
      </w:r>
      <w:r w:rsidR="00915A31">
        <w:rPr>
          <w:rFonts w:eastAsia="Times New Roman"/>
        </w:rPr>
        <w:t>31 October 2016</w:t>
      </w:r>
      <w:r w:rsidRPr="00216866">
        <w:rPr>
          <w:rFonts w:eastAsia="Times New Roman"/>
        </w:rPr>
        <w:t xml:space="preserve"> </w:t>
      </w:r>
    </w:p>
    <w:p w14:paraId="18D1B561" w14:textId="778E61E9" w:rsidR="00216866" w:rsidRPr="00216866" w:rsidRDefault="00216866" w:rsidP="00216866">
      <w:pPr>
        <w:numPr>
          <w:ilvl w:val="0"/>
          <w:numId w:val="10"/>
        </w:numPr>
        <w:shd w:val="clear" w:color="auto" w:fill="FFFFFF"/>
        <w:tabs>
          <w:tab w:val="clear" w:pos="360"/>
          <w:tab w:val="num" w:pos="720"/>
        </w:tabs>
        <w:spacing w:line="360" w:lineRule="atLeast"/>
        <w:jc w:val="left"/>
        <w:rPr>
          <w:rFonts w:eastAsia="Times New Roman"/>
          <w:lang w:val="en-US"/>
        </w:rPr>
      </w:pPr>
      <w:r w:rsidRPr="00216866">
        <w:rPr>
          <w:rFonts w:eastAsia="Times New Roman"/>
        </w:rPr>
        <w:t xml:space="preserve">Decision Expected by: </w:t>
      </w:r>
      <w:r w:rsidR="00915A31">
        <w:rPr>
          <w:rFonts w:eastAsia="Times New Roman"/>
        </w:rPr>
        <w:t>Mid December 2016</w:t>
      </w:r>
    </w:p>
    <w:p w14:paraId="4027FB77" w14:textId="583F8367" w:rsidR="00216866" w:rsidRPr="00216866" w:rsidRDefault="00216866" w:rsidP="00216866">
      <w:pPr>
        <w:numPr>
          <w:ilvl w:val="0"/>
          <w:numId w:val="10"/>
        </w:numPr>
        <w:shd w:val="clear" w:color="auto" w:fill="FFFFFF"/>
        <w:tabs>
          <w:tab w:val="clear" w:pos="360"/>
          <w:tab w:val="num" w:pos="720"/>
        </w:tabs>
        <w:spacing w:line="360" w:lineRule="atLeast"/>
        <w:jc w:val="left"/>
        <w:rPr>
          <w:rFonts w:eastAsia="Times New Roman"/>
          <w:lang w:val="en-US"/>
        </w:rPr>
      </w:pPr>
      <w:r w:rsidRPr="00216866">
        <w:rPr>
          <w:rFonts w:eastAsia="Times New Roman"/>
        </w:rPr>
        <w:t xml:space="preserve">Earliest Start Date: </w:t>
      </w:r>
      <w:r w:rsidR="00915A31">
        <w:rPr>
          <w:rFonts w:eastAsia="Times New Roman"/>
        </w:rPr>
        <w:t xml:space="preserve"> 1 January 2017</w:t>
      </w:r>
    </w:p>
    <w:p w14:paraId="7D7E7590" w14:textId="77777777" w:rsidR="00216866" w:rsidRDefault="00216866" w:rsidP="002600FA">
      <w:pPr>
        <w:rPr>
          <w:b/>
          <w:lang w:val="en-US"/>
        </w:rPr>
      </w:pPr>
    </w:p>
    <w:p w14:paraId="777120E7" w14:textId="77777777" w:rsidR="00216866" w:rsidRDefault="00216866" w:rsidP="002600FA">
      <w:pPr>
        <w:rPr>
          <w:b/>
          <w:lang w:val="en-US"/>
        </w:rPr>
      </w:pPr>
    </w:p>
    <w:p w14:paraId="7B9FE0CD" w14:textId="77777777" w:rsidR="002600FA" w:rsidRPr="00AA4998" w:rsidRDefault="002600FA" w:rsidP="002600FA">
      <w:pPr>
        <w:rPr>
          <w:b/>
          <w:lang w:val="en-US"/>
        </w:rPr>
      </w:pPr>
      <w:r w:rsidRPr="00AA4998">
        <w:rPr>
          <w:b/>
          <w:lang w:val="en-US"/>
        </w:rPr>
        <w:t>Relative Distribution of Awards</w:t>
      </w:r>
    </w:p>
    <w:p w14:paraId="3F80244A" w14:textId="77777777" w:rsidR="002600FA" w:rsidRDefault="002600FA" w:rsidP="002600FA">
      <w:pPr>
        <w:rPr>
          <w:lang w:val="en-US"/>
        </w:rPr>
      </w:pPr>
    </w:p>
    <w:p w14:paraId="31FD02A0" w14:textId="31335751" w:rsidR="002600FA" w:rsidRDefault="000301CA" w:rsidP="002600FA">
      <w:pPr>
        <w:rPr>
          <w:lang w:val="en-US"/>
        </w:rPr>
      </w:pPr>
      <w:r>
        <w:rPr>
          <w:lang w:val="en-US"/>
        </w:rPr>
        <w:t>T</w:t>
      </w:r>
      <w:r w:rsidR="002600FA">
        <w:rPr>
          <w:lang w:val="en-US"/>
        </w:rPr>
        <w:t>he distribution of awards will be decided on the basis of the scientific merit of the applications and the strategic objectives of the partnership as agreed at that time. The distribution of awards between each partner will be subject to the availability of sufficient funds available at the partner institutions.</w:t>
      </w:r>
      <w:r w:rsidR="002600FA" w:rsidRPr="00363D3D">
        <w:rPr>
          <w:lang w:val="en-US"/>
        </w:rPr>
        <w:t xml:space="preserve"> </w:t>
      </w:r>
    </w:p>
    <w:p w14:paraId="525A8280" w14:textId="77777777" w:rsidR="00534FD4" w:rsidRDefault="00534FD4" w:rsidP="002600FA">
      <w:pPr>
        <w:rPr>
          <w:lang w:val="en-US"/>
        </w:rPr>
      </w:pPr>
    </w:p>
    <w:p w14:paraId="754D4230" w14:textId="77777777" w:rsidR="002600FA" w:rsidRDefault="002600FA" w:rsidP="002600FA">
      <w:pPr>
        <w:rPr>
          <w:lang w:val="en-US"/>
        </w:rPr>
      </w:pPr>
      <w:r>
        <w:rPr>
          <w:lang w:val="en-US"/>
        </w:rPr>
        <w:t xml:space="preserve">Funds for successful applications will be allocated by the partner institutions involved in each award. The basis for the allocation of funding between institutions will be agreed by the steering committee. </w:t>
      </w:r>
    </w:p>
    <w:p w14:paraId="21882FC3" w14:textId="77777777" w:rsidR="00D463ED" w:rsidRDefault="00D463ED" w:rsidP="002600FA">
      <w:pPr>
        <w:rPr>
          <w:lang w:val="en-US"/>
        </w:rPr>
      </w:pPr>
    </w:p>
    <w:p w14:paraId="5C483FFF" w14:textId="527045D9" w:rsidR="00D463ED" w:rsidRDefault="00D463ED" w:rsidP="002600FA">
      <w:r>
        <w:t xml:space="preserve">If an applicant </w:t>
      </w:r>
      <w:r w:rsidRPr="00D463ED">
        <w:t xml:space="preserve">had </w:t>
      </w:r>
      <w:r>
        <w:t>been awarded by this program in an earlier call,</w:t>
      </w:r>
      <w:r w:rsidRPr="00D463ED">
        <w:t xml:space="preserve"> </w:t>
      </w:r>
      <w:r>
        <w:t>a project report must have been sent after the termination of the earlier project (see “Reporting” below)</w:t>
      </w:r>
      <w:r w:rsidR="00A86FD3">
        <w:t xml:space="preserve"> to be eligible for this current </w:t>
      </w:r>
      <w:bookmarkStart w:id="0" w:name="_GoBack"/>
      <w:bookmarkEnd w:id="0"/>
      <w:r w:rsidR="00A86FD3">
        <w:t>call.</w:t>
      </w:r>
    </w:p>
    <w:p w14:paraId="009D077D" w14:textId="5ACC139E" w:rsidR="00D463ED" w:rsidRPr="00D463ED" w:rsidRDefault="00D463ED" w:rsidP="002600FA">
      <w:r>
        <w:t xml:space="preserve"> </w:t>
      </w:r>
    </w:p>
    <w:p w14:paraId="2FF1158A" w14:textId="77777777" w:rsidR="002600FA" w:rsidRDefault="002600FA" w:rsidP="002600FA">
      <w:pPr>
        <w:rPr>
          <w:lang w:val="en-US"/>
        </w:rPr>
      </w:pPr>
    </w:p>
    <w:p w14:paraId="4ED40A67" w14:textId="77777777" w:rsidR="002600FA" w:rsidRDefault="002600FA" w:rsidP="002600FA">
      <w:pPr>
        <w:rPr>
          <w:b/>
          <w:lang w:val="en-US"/>
        </w:rPr>
      </w:pPr>
      <w:r>
        <w:rPr>
          <w:b/>
          <w:lang w:val="en-US"/>
        </w:rPr>
        <w:t xml:space="preserve">Application </w:t>
      </w:r>
      <w:r w:rsidRPr="009425C2">
        <w:rPr>
          <w:b/>
          <w:lang w:val="en-US"/>
        </w:rPr>
        <w:t>Procedure</w:t>
      </w:r>
    </w:p>
    <w:p w14:paraId="379FDEE5" w14:textId="77777777" w:rsidR="002600FA" w:rsidRDefault="002600FA" w:rsidP="002600FA">
      <w:pPr>
        <w:rPr>
          <w:b/>
          <w:lang w:val="en-US"/>
        </w:rPr>
      </w:pPr>
    </w:p>
    <w:p w14:paraId="0B36C9FE" w14:textId="3D728ADF" w:rsidR="002600FA" w:rsidRDefault="000301CA" w:rsidP="002600FA">
      <w:pPr>
        <w:rPr>
          <w:lang w:val="en-US"/>
        </w:rPr>
      </w:pPr>
      <w:r>
        <w:rPr>
          <w:lang w:val="en-US"/>
        </w:rPr>
        <w:t>A</w:t>
      </w:r>
      <w:r w:rsidR="002600FA" w:rsidRPr="009425C2">
        <w:rPr>
          <w:lang w:val="en-US"/>
        </w:rPr>
        <w:t>pplication forms are provided in appendix 1</w:t>
      </w:r>
      <w:r w:rsidR="002600FA">
        <w:rPr>
          <w:lang w:val="en-US"/>
        </w:rPr>
        <w:t xml:space="preserve">. Applications should include a completed application form, CVs of each investigator and budget breakdown. The budget breakdown </w:t>
      </w:r>
      <w:r w:rsidR="002600FA">
        <w:rPr>
          <w:lang w:val="en-US"/>
        </w:rPr>
        <w:lastRenderedPageBreak/>
        <w:t>should include a proposed breakdown of costs between the partner institutions, and should include all matching contributions to the project (personnel, equipment, consumables, etc).</w:t>
      </w:r>
    </w:p>
    <w:p w14:paraId="4FEFBDBC" w14:textId="77777777" w:rsidR="002600FA" w:rsidRDefault="002600FA" w:rsidP="002600FA">
      <w:pPr>
        <w:rPr>
          <w:lang w:val="en-US"/>
        </w:rPr>
      </w:pPr>
    </w:p>
    <w:p w14:paraId="3B4EB26F" w14:textId="2F7C8E62" w:rsidR="002600FA" w:rsidRPr="009425C2" w:rsidRDefault="000301CA" w:rsidP="002600FA">
      <w:pPr>
        <w:rPr>
          <w:lang w:val="en-US"/>
        </w:rPr>
      </w:pPr>
      <w:r>
        <w:rPr>
          <w:lang w:val="en-US"/>
        </w:rPr>
        <w:t>The current exchange rate, at the time of application,</w:t>
      </w:r>
      <w:r w:rsidR="002600FA">
        <w:rPr>
          <w:lang w:val="en-US"/>
        </w:rPr>
        <w:t xml:space="preserve"> will be used for all cost calculations</w:t>
      </w:r>
      <w:r>
        <w:rPr>
          <w:lang w:val="en-US"/>
        </w:rPr>
        <w:t>.</w:t>
      </w:r>
      <w:r w:rsidR="002600FA">
        <w:rPr>
          <w:lang w:val="en-US"/>
        </w:rPr>
        <w:t xml:space="preserve"> </w:t>
      </w:r>
    </w:p>
    <w:p w14:paraId="55201DB2" w14:textId="77777777" w:rsidR="002600FA" w:rsidRDefault="002600FA" w:rsidP="002600FA">
      <w:pPr>
        <w:rPr>
          <w:b/>
          <w:lang w:val="en-US"/>
        </w:rPr>
      </w:pPr>
    </w:p>
    <w:p w14:paraId="4C20198B" w14:textId="77777777" w:rsidR="002600FA" w:rsidRDefault="002600FA" w:rsidP="002600FA">
      <w:pPr>
        <w:rPr>
          <w:b/>
          <w:lang w:val="en-US"/>
        </w:rPr>
      </w:pPr>
      <w:r w:rsidRPr="005020F3">
        <w:rPr>
          <w:b/>
          <w:lang w:val="en-US"/>
        </w:rPr>
        <w:t>Assessment</w:t>
      </w:r>
      <w:r>
        <w:rPr>
          <w:b/>
          <w:lang w:val="en-US"/>
        </w:rPr>
        <w:t xml:space="preserve"> Procedure</w:t>
      </w:r>
    </w:p>
    <w:p w14:paraId="0680C836" w14:textId="77777777" w:rsidR="002600FA" w:rsidRDefault="002600FA" w:rsidP="002600FA">
      <w:pPr>
        <w:rPr>
          <w:b/>
          <w:lang w:val="en-US"/>
        </w:rPr>
      </w:pPr>
    </w:p>
    <w:p w14:paraId="158D6383" w14:textId="77777777" w:rsidR="002600FA" w:rsidRDefault="002600FA" w:rsidP="002600FA">
      <w:pPr>
        <w:rPr>
          <w:lang w:val="en-US"/>
        </w:rPr>
      </w:pPr>
      <w:r>
        <w:rPr>
          <w:lang w:val="en-US"/>
        </w:rPr>
        <w:t xml:space="preserve">Each partner institution will establish a committee of approximately 3-5 senior researchers to evaluate proposals.  Each proposal will be evaluated by the committees of the institutions involved in the proposed project. Partner institutions that are not involved in the proposal will not ordinarily be involved in the review process at this stage. Proposals will be evaluated on the basis of the assessment criteria provided in appendix 2. Applicants may not take part in the review of their own proposals. </w:t>
      </w:r>
    </w:p>
    <w:p w14:paraId="6C2F4C4A" w14:textId="77777777" w:rsidR="002600FA" w:rsidRDefault="002600FA" w:rsidP="002600FA">
      <w:pPr>
        <w:rPr>
          <w:lang w:val="en-US"/>
        </w:rPr>
      </w:pPr>
    </w:p>
    <w:p w14:paraId="6D8E9975" w14:textId="77777777" w:rsidR="002600FA" w:rsidRDefault="002600FA" w:rsidP="002600FA">
      <w:pPr>
        <w:rPr>
          <w:lang w:val="en-US"/>
        </w:rPr>
      </w:pPr>
      <w:r>
        <w:rPr>
          <w:lang w:val="en-US"/>
        </w:rPr>
        <w:t>The results of each institution’s evaluation will be provided to the steering committee members representing the partnership at that institution, who may choose to seek further scientific expert advice if it is deemed necessary. It may be possible to ask applicants to resubmit, taking into account the reviewer’s comments.</w:t>
      </w:r>
    </w:p>
    <w:p w14:paraId="12A210F9" w14:textId="77777777" w:rsidR="002600FA" w:rsidRDefault="002600FA" w:rsidP="002600FA">
      <w:pPr>
        <w:rPr>
          <w:lang w:val="en-US"/>
        </w:rPr>
      </w:pPr>
    </w:p>
    <w:p w14:paraId="6E71D07C" w14:textId="4D3BCD02" w:rsidR="002600FA" w:rsidRDefault="002600FA" w:rsidP="002600FA">
      <w:pPr>
        <w:rPr>
          <w:lang w:val="en-US"/>
        </w:rPr>
      </w:pPr>
      <w:r>
        <w:rPr>
          <w:lang w:val="en-US"/>
        </w:rPr>
        <w:t xml:space="preserve">Funding decisions will be </w:t>
      </w:r>
      <w:r w:rsidR="000301CA">
        <w:rPr>
          <w:lang w:val="en-US"/>
        </w:rPr>
        <w:t>made by the</w:t>
      </w:r>
      <w:r>
        <w:rPr>
          <w:lang w:val="en-US"/>
        </w:rPr>
        <w:t xml:space="preserve"> steer</w:t>
      </w:r>
      <w:r w:rsidR="000301CA">
        <w:rPr>
          <w:lang w:val="en-US"/>
        </w:rPr>
        <w:t>ing committee</w:t>
      </w:r>
      <w:r>
        <w:rPr>
          <w:lang w:val="en-US"/>
        </w:rPr>
        <w:t xml:space="preserve">. These may take into account the longer term strategic objectives of the partnership as agreed at that time; or any other factors deemed appropriate.  The panel’s decision will be final and there will be no appeal procedure. </w:t>
      </w:r>
    </w:p>
    <w:p w14:paraId="1F580F73" w14:textId="77777777" w:rsidR="002600FA" w:rsidRDefault="002600FA" w:rsidP="002600FA">
      <w:pPr>
        <w:rPr>
          <w:lang w:val="en-US"/>
        </w:rPr>
      </w:pPr>
    </w:p>
    <w:p w14:paraId="10555F8F" w14:textId="77777777" w:rsidR="002600FA" w:rsidRDefault="002600FA" w:rsidP="002600FA">
      <w:pPr>
        <w:rPr>
          <w:lang w:val="en-US"/>
        </w:rPr>
      </w:pPr>
      <w:r>
        <w:rPr>
          <w:lang w:val="en-US"/>
        </w:rPr>
        <w:t xml:space="preserve">Review committee comments will not be made available to applicants, unless they are invited to revise and resubmit their proposal.  However, the committee may wish to provide feedback if it is deemed this will assist the development of early career researchers.  </w:t>
      </w:r>
    </w:p>
    <w:p w14:paraId="363FADF1" w14:textId="77777777" w:rsidR="002600FA" w:rsidRDefault="002600FA" w:rsidP="002600FA">
      <w:pPr>
        <w:rPr>
          <w:b/>
          <w:lang w:val="en-US"/>
        </w:rPr>
      </w:pPr>
    </w:p>
    <w:p w14:paraId="0A34B30D" w14:textId="77777777" w:rsidR="000301CA" w:rsidRDefault="000301CA" w:rsidP="002600FA">
      <w:pPr>
        <w:rPr>
          <w:b/>
          <w:lang w:val="en-US"/>
        </w:rPr>
      </w:pPr>
    </w:p>
    <w:p w14:paraId="4400CAD8" w14:textId="53C0905B" w:rsidR="002600FA" w:rsidRPr="009425C2" w:rsidRDefault="002600FA" w:rsidP="002600FA">
      <w:pPr>
        <w:rPr>
          <w:b/>
          <w:lang w:val="en-US"/>
        </w:rPr>
      </w:pPr>
      <w:r w:rsidRPr="009425C2">
        <w:rPr>
          <w:b/>
          <w:lang w:val="en-US"/>
        </w:rPr>
        <w:t>Reporting</w:t>
      </w:r>
    </w:p>
    <w:p w14:paraId="6D72A791" w14:textId="77777777" w:rsidR="002600FA" w:rsidRDefault="002600FA" w:rsidP="002600FA">
      <w:pPr>
        <w:rPr>
          <w:lang w:val="en-US"/>
        </w:rPr>
      </w:pPr>
    </w:p>
    <w:p w14:paraId="6293637B" w14:textId="45B7C099" w:rsidR="002600FA" w:rsidRDefault="000301CA" w:rsidP="002600FA">
      <w:pPr>
        <w:rPr>
          <w:lang w:val="en-US"/>
        </w:rPr>
      </w:pPr>
      <w:r>
        <w:rPr>
          <w:lang w:val="en-US"/>
        </w:rPr>
        <w:t>At project end, pilot projects</w:t>
      </w:r>
      <w:r w:rsidR="00AB2A4C">
        <w:rPr>
          <w:lang w:val="en-US"/>
        </w:rPr>
        <w:t xml:space="preserve"> and workshops </w:t>
      </w:r>
      <w:r w:rsidR="002600FA">
        <w:rPr>
          <w:lang w:val="en-US"/>
        </w:rPr>
        <w:t xml:space="preserve">should provide a brief (normally </w:t>
      </w:r>
      <w:r w:rsidR="00F71DD1">
        <w:rPr>
          <w:lang w:val="en-US"/>
        </w:rPr>
        <w:t xml:space="preserve">1 </w:t>
      </w:r>
      <w:r w:rsidR="002600FA">
        <w:rPr>
          <w:lang w:val="en-US"/>
        </w:rPr>
        <w:t>page max) report detailing achievements.  This should highlight key results, potential impacts of continued research in the area</w:t>
      </w:r>
      <w:r w:rsidR="003A797A">
        <w:rPr>
          <w:lang w:val="en-US"/>
        </w:rPr>
        <w:t>,</w:t>
      </w:r>
      <w:r w:rsidR="002600FA">
        <w:rPr>
          <w:lang w:val="en-US"/>
        </w:rPr>
        <w:t xml:space="preserve"> student mobility, abstracts, </w:t>
      </w:r>
      <w:proofErr w:type="gramStart"/>
      <w:r w:rsidR="002600FA">
        <w:rPr>
          <w:lang w:val="en-US"/>
        </w:rPr>
        <w:t>talks</w:t>
      </w:r>
      <w:proofErr w:type="gramEnd"/>
      <w:r w:rsidR="002600FA">
        <w:rPr>
          <w:lang w:val="en-US"/>
        </w:rPr>
        <w:t xml:space="preserve"> at scientific meetings, funding applications, publications in preparation and any media highlights. </w:t>
      </w:r>
      <w:r w:rsidR="00AB2A4C">
        <w:rPr>
          <w:lang w:val="en-US"/>
        </w:rPr>
        <w:t xml:space="preserve"> </w:t>
      </w:r>
    </w:p>
    <w:p w14:paraId="73D56465" w14:textId="77777777" w:rsidR="002600FA" w:rsidRDefault="002600FA" w:rsidP="002600FA">
      <w:pPr>
        <w:rPr>
          <w:lang w:val="en-US"/>
        </w:rPr>
      </w:pPr>
    </w:p>
    <w:p w14:paraId="5C7966C8" w14:textId="0F24C4CD" w:rsidR="002600FA" w:rsidRDefault="002600FA" w:rsidP="002600FA">
      <w:r>
        <w:rPr>
          <w:lang w:val="en-US"/>
        </w:rPr>
        <w:t xml:space="preserve">Any publications generated as a result of </w:t>
      </w:r>
      <w:r w:rsidR="006247A9">
        <w:rPr>
          <w:lang w:val="en-US"/>
        </w:rPr>
        <w:t>an award</w:t>
      </w:r>
      <w:r>
        <w:rPr>
          <w:lang w:val="en-US"/>
        </w:rPr>
        <w:t xml:space="preserve"> must acknowledge the partnership specifically referring to support from</w:t>
      </w:r>
      <w:r w:rsidRPr="00CE3DA0">
        <w:rPr>
          <w:lang w:val="en-US"/>
        </w:rPr>
        <w:t xml:space="preserve"> ‘</w:t>
      </w:r>
      <w:r>
        <w:rPr>
          <w:lang w:val="en-US"/>
        </w:rPr>
        <w:t xml:space="preserve">The </w:t>
      </w:r>
      <w:r w:rsidRPr="00CE3DA0">
        <w:t>Oxford McGil</w:t>
      </w:r>
      <w:r w:rsidR="008145BC">
        <w:t>l</w:t>
      </w:r>
      <w:r>
        <w:t xml:space="preserve"> </w:t>
      </w:r>
      <w:r w:rsidRPr="00CE3DA0">
        <w:t>ZNZ Partnership in the Neurosciences’</w:t>
      </w:r>
      <w:r>
        <w:t xml:space="preserve">.  Investigators should update the partnership coordinators on the progress of publications arising from these awards. </w:t>
      </w:r>
    </w:p>
    <w:p w14:paraId="3868FCAB" w14:textId="77777777" w:rsidR="002600FA" w:rsidRDefault="002600FA" w:rsidP="002600FA"/>
    <w:p w14:paraId="2EB2092F" w14:textId="77777777" w:rsidR="002600FA" w:rsidRDefault="002600FA" w:rsidP="002600FA">
      <w:pPr>
        <w:rPr>
          <w:b/>
        </w:rPr>
      </w:pPr>
      <w:r>
        <w:t xml:space="preserve">Should a project cease for any reason, including project end, unspent funds will be returned to the partnership. </w:t>
      </w:r>
    </w:p>
    <w:p w14:paraId="7F171A79" w14:textId="77777777" w:rsidR="002600FA" w:rsidRDefault="002600FA" w:rsidP="002600FA">
      <w:pPr>
        <w:rPr>
          <w:b/>
        </w:rPr>
      </w:pPr>
    </w:p>
    <w:p w14:paraId="345FA252" w14:textId="77777777" w:rsidR="002600FA" w:rsidRDefault="002600FA" w:rsidP="002600FA">
      <w:pPr>
        <w:rPr>
          <w:b/>
        </w:rPr>
      </w:pPr>
    </w:p>
    <w:p w14:paraId="53E3021F" w14:textId="77777777" w:rsidR="002600FA" w:rsidRDefault="002600FA" w:rsidP="002600FA">
      <w:pPr>
        <w:rPr>
          <w:b/>
        </w:rPr>
      </w:pPr>
    </w:p>
    <w:p w14:paraId="46D55367" w14:textId="77777777" w:rsidR="002600FA" w:rsidRDefault="002600FA" w:rsidP="002600FA">
      <w:pPr>
        <w:rPr>
          <w:b/>
        </w:rPr>
      </w:pPr>
    </w:p>
    <w:p w14:paraId="00ED5EBA" w14:textId="77777777" w:rsidR="002600FA" w:rsidRDefault="002600FA" w:rsidP="002600FA">
      <w:pPr>
        <w:rPr>
          <w:b/>
        </w:rPr>
      </w:pPr>
    </w:p>
    <w:p w14:paraId="2D57C3EA" w14:textId="77777777" w:rsidR="002600FA" w:rsidRDefault="002600FA" w:rsidP="002600FA">
      <w:pPr>
        <w:rPr>
          <w:b/>
        </w:rPr>
      </w:pPr>
      <w:r>
        <w:rPr>
          <w:b/>
        </w:rPr>
        <w:br w:type="page"/>
      </w:r>
    </w:p>
    <w:p w14:paraId="1B03A048" w14:textId="1AD98DEB" w:rsidR="002600FA" w:rsidRDefault="002B5B80" w:rsidP="002600FA">
      <w:pPr>
        <w:rPr>
          <w:b/>
        </w:rPr>
      </w:pPr>
      <w:r>
        <w:rPr>
          <w:b/>
        </w:rPr>
        <w:lastRenderedPageBreak/>
        <w:t>Appendix 1 Application form</w:t>
      </w:r>
    </w:p>
    <w:p w14:paraId="7528B8F1" w14:textId="77777777" w:rsidR="002600FA" w:rsidRDefault="002600FA" w:rsidP="002600FA">
      <w:pPr>
        <w:rPr>
          <w:b/>
        </w:rPr>
      </w:pPr>
    </w:p>
    <w:p w14:paraId="364BE263" w14:textId="77777777" w:rsidR="002600FA" w:rsidRPr="00815FD3" w:rsidRDefault="002600FA" w:rsidP="002600FA">
      <w:pPr>
        <w:pStyle w:val="Title"/>
        <w:jc w:val="center"/>
        <w:rPr>
          <w:sz w:val="36"/>
          <w:szCs w:val="48"/>
        </w:rPr>
      </w:pPr>
      <w:r w:rsidRPr="00815FD3">
        <w:rPr>
          <w:sz w:val="36"/>
          <w:szCs w:val="48"/>
        </w:rPr>
        <w:t>Oxford McGill ZNZ Partnership in the Neurosciences</w:t>
      </w:r>
    </w:p>
    <w:p w14:paraId="1838B055" w14:textId="05C1BFF8" w:rsidR="002600FA" w:rsidRPr="00815FD3" w:rsidRDefault="002600FA" w:rsidP="002600FA">
      <w:pPr>
        <w:pStyle w:val="Title"/>
        <w:jc w:val="center"/>
        <w:rPr>
          <w:sz w:val="36"/>
          <w:szCs w:val="48"/>
        </w:rPr>
      </w:pPr>
      <w:r w:rsidRPr="00815FD3">
        <w:rPr>
          <w:sz w:val="36"/>
          <w:szCs w:val="48"/>
        </w:rPr>
        <w:t xml:space="preserve">Application for </w:t>
      </w:r>
      <w:r w:rsidR="00AB2A4C">
        <w:rPr>
          <w:sz w:val="36"/>
          <w:szCs w:val="48"/>
        </w:rPr>
        <w:t>Workshop</w:t>
      </w:r>
      <w:r w:rsidR="000741FF">
        <w:rPr>
          <w:sz w:val="36"/>
          <w:szCs w:val="48"/>
        </w:rPr>
        <w:t>/Pilot Project</w:t>
      </w:r>
      <w:r w:rsidRPr="00815FD3">
        <w:rPr>
          <w:sz w:val="36"/>
          <w:szCs w:val="48"/>
        </w:rPr>
        <w:t xml:space="preserve"> Funding</w:t>
      </w:r>
    </w:p>
    <w:p w14:paraId="51D1617A" w14:textId="77777777" w:rsidR="002600FA" w:rsidRPr="00921C04" w:rsidRDefault="002600FA" w:rsidP="002600FA">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694"/>
      </w:tblGrid>
      <w:tr w:rsidR="002600FA" w:rsidRPr="00921C04" w14:paraId="4E553486" w14:textId="77777777" w:rsidTr="00EB6334">
        <w:tc>
          <w:tcPr>
            <w:tcW w:w="2268" w:type="dxa"/>
          </w:tcPr>
          <w:p w14:paraId="689572CA" w14:textId="77777777" w:rsidR="002600FA" w:rsidRPr="00921C04" w:rsidRDefault="002600FA" w:rsidP="00EB6334">
            <w:r w:rsidRPr="00921C04">
              <w:t>Title of the proposal</w:t>
            </w:r>
          </w:p>
          <w:p w14:paraId="486197AF" w14:textId="77777777" w:rsidR="002600FA" w:rsidRPr="00921C04" w:rsidRDefault="002600FA" w:rsidP="00EB6334"/>
        </w:tc>
        <w:tc>
          <w:tcPr>
            <w:tcW w:w="7308" w:type="dxa"/>
          </w:tcPr>
          <w:p w14:paraId="6304E86B" w14:textId="77777777" w:rsidR="002600FA" w:rsidRPr="00921C04" w:rsidRDefault="002600FA" w:rsidP="00EB6334"/>
        </w:tc>
      </w:tr>
    </w:tbl>
    <w:p w14:paraId="35CCE8D9" w14:textId="77777777" w:rsidR="002600FA" w:rsidRPr="00921C04" w:rsidRDefault="002600FA" w:rsidP="002600FA"/>
    <w:p w14:paraId="110DA374" w14:textId="77777777" w:rsidR="002600FA" w:rsidRPr="00921C04" w:rsidRDefault="002600FA" w:rsidP="002600FA">
      <w:pPr>
        <w:pStyle w:val="Heading2"/>
      </w:pPr>
      <w:r>
        <w:t>Oxford Applicant</w:t>
      </w:r>
      <w:r w:rsidRPr="00921C04">
        <w:t xml:space="preserve"> Details</w:t>
      </w:r>
    </w:p>
    <w:p w14:paraId="53444BB7" w14:textId="77777777" w:rsidR="002600FA" w:rsidRPr="00921C04" w:rsidRDefault="002600FA" w:rsidP="002600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3561"/>
        <w:gridCol w:w="3560"/>
      </w:tblGrid>
      <w:tr w:rsidR="002600FA" w:rsidRPr="00921C04" w14:paraId="79233521" w14:textId="77777777" w:rsidTr="00EB6334">
        <w:tc>
          <w:tcPr>
            <w:tcW w:w="1791" w:type="dxa"/>
          </w:tcPr>
          <w:p w14:paraId="7E199C9E" w14:textId="77777777" w:rsidR="002600FA" w:rsidRPr="00921C04" w:rsidRDefault="002600FA" w:rsidP="00EB6334"/>
        </w:tc>
        <w:tc>
          <w:tcPr>
            <w:tcW w:w="3886" w:type="dxa"/>
          </w:tcPr>
          <w:p w14:paraId="379A643E" w14:textId="77777777" w:rsidR="002600FA" w:rsidRPr="00921C04" w:rsidRDefault="002600FA" w:rsidP="00EB6334">
            <w:r w:rsidRPr="00921C04">
              <w:t>Name, Position, Department</w:t>
            </w:r>
          </w:p>
        </w:tc>
        <w:tc>
          <w:tcPr>
            <w:tcW w:w="3943" w:type="dxa"/>
          </w:tcPr>
          <w:p w14:paraId="39046854" w14:textId="77777777" w:rsidR="002600FA" w:rsidRPr="00921C04" w:rsidRDefault="002600FA" w:rsidP="00EB6334">
            <w:r w:rsidRPr="00921C04">
              <w:t>E-mail and phone number</w:t>
            </w:r>
          </w:p>
        </w:tc>
      </w:tr>
      <w:tr w:rsidR="002600FA" w:rsidRPr="00921C04" w14:paraId="43E42B04" w14:textId="77777777" w:rsidTr="00EB6334">
        <w:tc>
          <w:tcPr>
            <w:tcW w:w="1791" w:type="dxa"/>
          </w:tcPr>
          <w:p w14:paraId="56BA324A" w14:textId="77777777" w:rsidR="002600FA" w:rsidRPr="00B87E51" w:rsidRDefault="002600FA" w:rsidP="00EB6334">
            <w:r w:rsidRPr="00B87E51">
              <w:t>Principal Investigator</w:t>
            </w:r>
          </w:p>
        </w:tc>
        <w:tc>
          <w:tcPr>
            <w:tcW w:w="3886" w:type="dxa"/>
          </w:tcPr>
          <w:p w14:paraId="4028321A" w14:textId="77777777" w:rsidR="002600FA" w:rsidRPr="00B87E51" w:rsidRDefault="002600FA" w:rsidP="00EB6334"/>
        </w:tc>
        <w:tc>
          <w:tcPr>
            <w:tcW w:w="3943" w:type="dxa"/>
          </w:tcPr>
          <w:p w14:paraId="6116D487" w14:textId="77777777" w:rsidR="002600FA" w:rsidRPr="00B87E51" w:rsidRDefault="002600FA" w:rsidP="00EB6334"/>
        </w:tc>
      </w:tr>
      <w:tr w:rsidR="002600FA" w:rsidRPr="00921C04" w14:paraId="76143596" w14:textId="77777777" w:rsidTr="00EB6334">
        <w:tc>
          <w:tcPr>
            <w:tcW w:w="1791" w:type="dxa"/>
          </w:tcPr>
          <w:p w14:paraId="2353087B" w14:textId="77777777" w:rsidR="002600FA" w:rsidRPr="00B87E51" w:rsidRDefault="002600FA" w:rsidP="00EB6334">
            <w:r w:rsidRPr="00B87E51">
              <w:t xml:space="preserve">Co-PI </w:t>
            </w:r>
          </w:p>
          <w:p w14:paraId="437909DC" w14:textId="77777777" w:rsidR="002600FA" w:rsidRPr="00B87E51" w:rsidRDefault="002600FA" w:rsidP="00EB6334">
            <w:r w:rsidRPr="00B87E51">
              <w:t>(if applicable)</w:t>
            </w:r>
          </w:p>
        </w:tc>
        <w:tc>
          <w:tcPr>
            <w:tcW w:w="3886" w:type="dxa"/>
          </w:tcPr>
          <w:p w14:paraId="157C1916" w14:textId="77777777" w:rsidR="002600FA" w:rsidRPr="00B87E51" w:rsidRDefault="002600FA" w:rsidP="00EB6334"/>
        </w:tc>
        <w:tc>
          <w:tcPr>
            <w:tcW w:w="3943" w:type="dxa"/>
          </w:tcPr>
          <w:p w14:paraId="54DB2480" w14:textId="77777777" w:rsidR="002600FA" w:rsidRPr="00B87E51" w:rsidRDefault="002600FA" w:rsidP="00EB6334"/>
        </w:tc>
      </w:tr>
      <w:tr w:rsidR="002600FA" w:rsidRPr="00921C04" w14:paraId="20FE6064" w14:textId="77777777" w:rsidTr="00EB6334">
        <w:tc>
          <w:tcPr>
            <w:tcW w:w="1791" w:type="dxa"/>
          </w:tcPr>
          <w:p w14:paraId="0058BBB3" w14:textId="77777777" w:rsidR="002600FA" w:rsidRPr="00921C04" w:rsidRDefault="002600FA" w:rsidP="00EB6334">
            <w:r w:rsidRPr="00921C04">
              <w:t>Co-applicant</w:t>
            </w:r>
          </w:p>
          <w:p w14:paraId="67256D69" w14:textId="77777777" w:rsidR="002600FA" w:rsidRPr="00921C04" w:rsidRDefault="002600FA" w:rsidP="00EB6334">
            <w:r w:rsidRPr="00921C04">
              <w:t>(if applicable)</w:t>
            </w:r>
          </w:p>
        </w:tc>
        <w:tc>
          <w:tcPr>
            <w:tcW w:w="3886" w:type="dxa"/>
          </w:tcPr>
          <w:p w14:paraId="21E33582" w14:textId="77777777" w:rsidR="002600FA" w:rsidRPr="00B87E51" w:rsidRDefault="002600FA" w:rsidP="00EB6334"/>
        </w:tc>
        <w:tc>
          <w:tcPr>
            <w:tcW w:w="3943" w:type="dxa"/>
          </w:tcPr>
          <w:p w14:paraId="24886E5B" w14:textId="77777777" w:rsidR="002600FA" w:rsidRPr="00B87E51" w:rsidRDefault="002600FA" w:rsidP="00EB6334"/>
        </w:tc>
      </w:tr>
      <w:tr w:rsidR="002600FA" w:rsidRPr="00921C04" w14:paraId="68F6AE0B" w14:textId="77777777" w:rsidTr="00EB6334">
        <w:tc>
          <w:tcPr>
            <w:tcW w:w="1791" w:type="dxa"/>
          </w:tcPr>
          <w:p w14:paraId="59C4B32B" w14:textId="77777777" w:rsidR="002600FA" w:rsidRPr="00921C04" w:rsidRDefault="002600FA" w:rsidP="00EB6334">
            <w:r w:rsidRPr="00921C04">
              <w:t>Co-applicant</w:t>
            </w:r>
          </w:p>
          <w:p w14:paraId="6A1A6677" w14:textId="77777777" w:rsidR="002600FA" w:rsidRPr="00921C04" w:rsidRDefault="002600FA" w:rsidP="00EB6334">
            <w:r w:rsidRPr="00921C04">
              <w:t>(if applicable)</w:t>
            </w:r>
          </w:p>
        </w:tc>
        <w:tc>
          <w:tcPr>
            <w:tcW w:w="3886" w:type="dxa"/>
          </w:tcPr>
          <w:p w14:paraId="11D9C803" w14:textId="77777777" w:rsidR="002600FA" w:rsidRPr="00921C04" w:rsidRDefault="002600FA" w:rsidP="00EB6334"/>
        </w:tc>
        <w:tc>
          <w:tcPr>
            <w:tcW w:w="3943" w:type="dxa"/>
          </w:tcPr>
          <w:p w14:paraId="6ADADA54" w14:textId="77777777" w:rsidR="002600FA" w:rsidRPr="00921C04" w:rsidRDefault="002600FA" w:rsidP="00EB6334"/>
        </w:tc>
      </w:tr>
      <w:tr w:rsidR="002600FA" w:rsidRPr="00921C04" w14:paraId="42B993E5" w14:textId="77777777" w:rsidTr="00EB6334">
        <w:tc>
          <w:tcPr>
            <w:tcW w:w="1791" w:type="dxa"/>
          </w:tcPr>
          <w:p w14:paraId="5A7FBAA1" w14:textId="77777777" w:rsidR="002600FA" w:rsidRPr="00921C04" w:rsidRDefault="002600FA" w:rsidP="00EB6334">
            <w:r w:rsidRPr="00921C04">
              <w:t>Co-applicant</w:t>
            </w:r>
          </w:p>
          <w:p w14:paraId="71279C22" w14:textId="77777777" w:rsidR="002600FA" w:rsidRPr="00921C04" w:rsidRDefault="002600FA" w:rsidP="00EB6334">
            <w:r w:rsidRPr="00921C04">
              <w:t>(if applicable)</w:t>
            </w:r>
          </w:p>
        </w:tc>
        <w:tc>
          <w:tcPr>
            <w:tcW w:w="3886" w:type="dxa"/>
          </w:tcPr>
          <w:p w14:paraId="179DC8E7" w14:textId="77777777" w:rsidR="002600FA" w:rsidRPr="00921C04" w:rsidRDefault="002600FA" w:rsidP="00EB6334"/>
        </w:tc>
        <w:tc>
          <w:tcPr>
            <w:tcW w:w="3943" w:type="dxa"/>
          </w:tcPr>
          <w:p w14:paraId="1B3105D6" w14:textId="77777777" w:rsidR="002600FA" w:rsidRPr="00921C04" w:rsidRDefault="002600FA" w:rsidP="00EB6334"/>
        </w:tc>
      </w:tr>
    </w:tbl>
    <w:p w14:paraId="646B9806" w14:textId="77777777" w:rsidR="002600FA" w:rsidRPr="00921C04" w:rsidRDefault="002600FA" w:rsidP="002600FA"/>
    <w:p w14:paraId="0EB4043C" w14:textId="77777777" w:rsidR="002600FA" w:rsidRPr="00921C04" w:rsidRDefault="002600FA" w:rsidP="002600FA">
      <w:pPr>
        <w:pStyle w:val="Heading2"/>
      </w:pPr>
      <w:r w:rsidRPr="00921C04">
        <w:t>McGill Applicant Details</w:t>
      </w:r>
    </w:p>
    <w:p w14:paraId="2B133469" w14:textId="77777777" w:rsidR="002600FA" w:rsidRPr="00921C04" w:rsidRDefault="002600FA" w:rsidP="002600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3582"/>
        <w:gridCol w:w="3535"/>
      </w:tblGrid>
      <w:tr w:rsidR="002600FA" w:rsidRPr="00921C04" w14:paraId="159ED789" w14:textId="77777777" w:rsidTr="00EB6334">
        <w:tc>
          <w:tcPr>
            <w:tcW w:w="1792" w:type="dxa"/>
          </w:tcPr>
          <w:p w14:paraId="1ACE65FB" w14:textId="77777777" w:rsidR="002600FA" w:rsidRPr="00921C04" w:rsidRDefault="002600FA" w:rsidP="00EB6334"/>
        </w:tc>
        <w:tc>
          <w:tcPr>
            <w:tcW w:w="3892" w:type="dxa"/>
          </w:tcPr>
          <w:p w14:paraId="7B2B0CBF" w14:textId="77777777" w:rsidR="002600FA" w:rsidRPr="00921C04" w:rsidRDefault="002600FA" w:rsidP="00EB6334">
            <w:r w:rsidRPr="00921C04">
              <w:t>Name, Position, Department</w:t>
            </w:r>
          </w:p>
        </w:tc>
        <w:tc>
          <w:tcPr>
            <w:tcW w:w="3892" w:type="dxa"/>
          </w:tcPr>
          <w:p w14:paraId="3D94EEED" w14:textId="77777777" w:rsidR="002600FA" w:rsidRPr="00921C04" w:rsidRDefault="002600FA" w:rsidP="00EB6334">
            <w:r w:rsidRPr="00921C04">
              <w:t>E-mail and phone number</w:t>
            </w:r>
          </w:p>
        </w:tc>
      </w:tr>
      <w:tr w:rsidR="002600FA" w:rsidRPr="00921C04" w14:paraId="626D4758" w14:textId="77777777" w:rsidTr="00EB6334">
        <w:tc>
          <w:tcPr>
            <w:tcW w:w="1792" w:type="dxa"/>
          </w:tcPr>
          <w:p w14:paraId="09BF69A8" w14:textId="77777777" w:rsidR="002600FA" w:rsidRPr="00921C04" w:rsidRDefault="002600FA" w:rsidP="00EB6334">
            <w:r w:rsidRPr="00921C04">
              <w:t>Principal Investigator</w:t>
            </w:r>
          </w:p>
        </w:tc>
        <w:tc>
          <w:tcPr>
            <w:tcW w:w="3892" w:type="dxa"/>
          </w:tcPr>
          <w:p w14:paraId="0F44FF11" w14:textId="77777777" w:rsidR="002600FA" w:rsidRPr="005B735D" w:rsidRDefault="002600FA" w:rsidP="00EB6334"/>
        </w:tc>
        <w:tc>
          <w:tcPr>
            <w:tcW w:w="3892" w:type="dxa"/>
          </w:tcPr>
          <w:p w14:paraId="64F9E905" w14:textId="77777777" w:rsidR="002600FA" w:rsidRPr="005B735D" w:rsidRDefault="002600FA" w:rsidP="00EB6334"/>
        </w:tc>
      </w:tr>
      <w:tr w:rsidR="002600FA" w:rsidRPr="00921C04" w14:paraId="4308A7AF" w14:textId="77777777" w:rsidTr="00EB6334">
        <w:tc>
          <w:tcPr>
            <w:tcW w:w="1792" w:type="dxa"/>
          </w:tcPr>
          <w:p w14:paraId="1556F5B4" w14:textId="77777777" w:rsidR="002600FA" w:rsidRPr="00921C04" w:rsidRDefault="002600FA" w:rsidP="00EB6334">
            <w:r w:rsidRPr="00921C04">
              <w:t xml:space="preserve">Co-PI </w:t>
            </w:r>
          </w:p>
          <w:p w14:paraId="441CC219" w14:textId="77777777" w:rsidR="002600FA" w:rsidRPr="00921C04" w:rsidRDefault="002600FA" w:rsidP="00EB6334">
            <w:r w:rsidRPr="00921C04">
              <w:t>(if applicable)</w:t>
            </w:r>
          </w:p>
        </w:tc>
        <w:tc>
          <w:tcPr>
            <w:tcW w:w="3892" w:type="dxa"/>
          </w:tcPr>
          <w:p w14:paraId="1E4F0C68" w14:textId="77777777" w:rsidR="002600FA" w:rsidRPr="00921C04" w:rsidRDefault="002600FA" w:rsidP="00EB6334"/>
        </w:tc>
        <w:tc>
          <w:tcPr>
            <w:tcW w:w="3892" w:type="dxa"/>
          </w:tcPr>
          <w:p w14:paraId="599BA4A8" w14:textId="77777777" w:rsidR="002600FA" w:rsidRPr="00921C04" w:rsidRDefault="002600FA" w:rsidP="00EB6334"/>
        </w:tc>
      </w:tr>
      <w:tr w:rsidR="002600FA" w:rsidRPr="00921C04" w14:paraId="7CEFCA74" w14:textId="77777777" w:rsidTr="00EB6334">
        <w:tc>
          <w:tcPr>
            <w:tcW w:w="1792" w:type="dxa"/>
          </w:tcPr>
          <w:p w14:paraId="3E15B892" w14:textId="77777777" w:rsidR="002600FA" w:rsidRPr="00921C04" w:rsidRDefault="002600FA" w:rsidP="00EB6334">
            <w:r w:rsidRPr="00921C04">
              <w:t>Co-applicant</w:t>
            </w:r>
          </w:p>
          <w:p w14:paraId="62568444" w14:textId="77777777" w:rsidR="002600FA" w:rsidRPr="00921C04" w:rsidRDefault="002600FA" w:rsidP="00EB6334">
            <w:r w:rsidRPr="00921C04">
              <w:t>(if applicable)</w:t>
            </w:r>
          </w:p>
        </w:tc>
        <w:tc>
          <w:tcPr>
            <w:tcW w:w="3892" w:type="dxa"/>
          </w:tcPr>
          <w:p w14:paraId="2C1D0CA1" w14:textId="77777777" w:rsidR="002600FA" w:rsidRPr="00921C04" w:rsidRDefault="002600FA" w:rsidP="00EB6334"/>
        </w:tc>
        <w:tc>
          <w:tcPr>
            <w:tcW w:w="3892" w:type="dxa"/>
          </w:tcPr>
          <w:p w14:paraId="717A53DA" w14:textId="77777777" w:rsidR="002600FA" w:rsidRPr="00921C04" w:rsidRDefault="002600FA" w:rsidP="00EB6334"/>
        </w:tc>
      </w:tr>
      <w:tr w:rsidR="002600FA" w:rsidRPr="00921C04" w14:paraId="1CCE18ED" w14:textId="77777777" w:rsidTr="00EB6334">
        <w:tc>
          <w:tcPr>
            <w:tcW w:w="1792" w:type="dxa"/>
          </w:tcPr>
          <w:p w14:paraId="1636B283" w14:textId="77777777" w:rsidR="002600FA" w:rsidRPr="00921C04" w:rsidRDefault="002600FA" w:rsidP="00EB6334">
            <w:r w:rsidRPr="00921C04">
              <w:t>Co-applicant</w:t>
            </w:r>
          </w:p>
          <w:p w14:paraId="4B6B147F" w14:textId="77777777" w:rsidR="002600FA" w:rsidRPr="00921C04" w:rsidRDefault="002600FA" w:rsidP="00EB6334">
            <w:r w:rsidRPr="00921C04">
              <w:t>(if applicable)</w:t>
            </w:r>
          </w:p>
        </w:tc>
        <w:tc>
          <w:tcPr>
            <w:tcW w:w="3892" w:type="dxa"/>
          </w:tcPr>
          <w:p w14:paraId="65FE1BDC" w14:textId="77777777" w:rsidR="002600FA" w:rsidRPr="00921C04" w:rsidRDefault="002600FA" w:rsidP="00EB6334"/>
        </w:tc>
        <w:tc>
          <w:tcPr>
            <w:tcW w:w="3892" w:type="dxa"/>
          </w:tcPr>
          <w:p w14:paraId="607FAAF3" w14:textId="77777777" w:rsidR="002600FA" w:rsidRPr="00921C04" w:rsidRDefault="002600FA" w:rsidP="00EB6334"/>
        </w:tc>
      </w:tr>
      <w:tr w:rsidR="002600FA" w:rsidRPr="00921C04" w14:paraId="173D404C" w14:textId="77777777" w:rsidTr="00EB6334">
        <w:tc>
          <w:tcPr>
            <w:tcW w:w="1792" w:type="dxa"/>
          </w:tcPr>
          <w:p w14:paraId="299EFE1C" w14:textId="77777777" w:rsidR="002600FA" w:rsidRPr="00921C04" w:rsidRDefault="002600FA" w:rsidP="00EB6334">
            <w:r w:rsidRPr="00921C04">
              <w:t>Co-applicant</w:t>
            </w:r>
          </w:p>
          <w:p w14:paraId="538752FC" w14:textId="77777777" w:rsidR="002600FA" w:rsidRPr="00921C04" w:rsidRDefault="002600FA" w:rsidP="00EB6334">
            <w:r w:rsidRPr="00921C04">
              <w:t>(if applicable)</w:t>
            </w:r>
          </w:p>
        </w:tc>
        <w:tc>
          <w:tcPr>
            <w:tcW w:w="3892" w:type="dxa"/>
          </w:tcPr>
          <w:p w14:paraId="09876D16" w14:textId="77777777" w:rsidR="002600FA" w:rsidRPr="00921C04" w:rsidRDefault="002600FA" w:rsidP="00EB6334"/>
        </w:tc>
        <w:tc>
          <w:tcPr>
            <w:tcW w:w="3892" w:type="dxa"/>
          </w:tcPr>
          <w:p w14:paraId="2B7088CF" w14:textId="77777777" w:rsidR="002600FA" w:rsidRPr="00921C04" w:rsidRDefault="002600FA" w:rsidP="00EB6334"/>
        </w:tc>
      </w:tr>
    </w:tbl>
    <w:p w14:paraId="23D867F2" w14:textId="77777777" w:rsidR="002600FA" w:rsidRPr="00921C04" w:rsidRDefault="002600FA" w:rsidP="002600FA"/>
    <w:p w14:paraId="40187B91" w14:textId="77777777" w:rsidR="002600FA" w:rsidRPr="00921C04" w:rsidRDefault="002600FA" w:rsidP="002600FA">
      <w:pPr>
        <w:pStyle w:val="Heading2"/>
      </w:pPr>
      <w:r>
        <w:t>ZNZ</w:t>
      </w:r>
      <w:r w:rsidRPr="00921C04">
        <w:t xml:space="preserve"> Applicant Details</w:t>
      </w:r>
    </w:p>
    <w:p w14:paraId="06493C8D" w14:textId="77777777" w:rsidR="002600FA" w:rsidRPr="00921C04" w:rsidRDefault="002600FA" w:rsidP="002600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3582"/>
        <w:gridCol w:w="3535"/>
      </w:tblGrid>
      <w:tr w:rsidR="002600FA" w:rsidRPr="00921C04" w14:paraId="66604C25" w14:textId="77777777" w:rsidTr="00EB6334">
        <w:tc>
          <w:tcPr>
            <w:tcW w:w="1792" w:type="dxa"/>
          </w:tcPr>
          <w:p w14:paraId="42A49CA7" w14:textId="77777777" w:rsidR="002600FA" w:rsidRPr="00921C04" w:rsidRDefault="002600FA" w:rsidP="00EB6334"/>
        </w:tc>
        <w:tc>
          <w:tcPr>
            <w:tcW w:w="3892" w:type="dxa"/>
          </w:tcPr>
          <w:p w14:paraId="401A8BAF" w14:textId="77777777" w:rsidR="002600FA" w:rsidRPr="00921C04" w:rsidRDefault="002600FA" w:rsidP="00EB6334">
            <w:r w:rsidRPr="00921C04">
              <w:t>Name, Position, Department</w:t>
            </w:r>
          </w:p>
        </w:tc>
        <w:tc>
          <w:tcPr>
            <w:tcW w:w="3892" w:type="dxa"/>
          </w:tcPr>
          <w:p w14:paraId="556D8A52" w14:textId="77777777" w:rsidR="002600FA" w:rsidRPr="00921C04" w:rsidRDefault="002600FA" w:rsidP="00EB6334">
            <w:r w:rsidRPr="00921C04">
              <w:t>E-mail and phone number</w:t>
            </w:r>
          </w:p>
        </w:tc>
      </w:tr>
      <w:tr w:rsidR="002600FA" w:rsidRPr="00921C04" w14:paraId="26CD63EB" w14:textId="77777777" w:rsidTr="00EB6334">
        <w:tc>
          <w:tcPr>
            <w:tcW w:w="1792" w:type="dxa"/>
          </w:tcPr>
          <w:p w14:paraId="175617E9" w14:textId="77777777" w:rsidR="002600FA" w:rsidRPr="00921C04" w:rsidRDefault="002600FA" w:rsidP="00EB6334">
            <w:r w:rsidRPr="00921C04">
              <w:t>Principal Investigator</w:t>
            </w:r>
          </w:p>
        </w:tc>
        <w:tc>
          <w:tcPr>
            <w:tcW w:w="3892" w:type="dxa"/>
          </w:tcPr>
          <w:p w14:paraId="5CE011C5" w14:textId="77777777" w:rsidR="002600FA" w:rsidRPr="005B735D" w:rsidRDefault="002600FA" w:rsidP="00EB6334"/>
        </w:tc>
        <w:tc>
          <w:tcPr>
            <w:tcW w:w="3892" w:type="dxa"/>
          </w:tcPr>
          <w:p w14:paraId="1B16A163" w14:textId="77777777" w:rsidR="002600FA" w:rsidRPr="005B735D" w:rsidRDefault="002600FA" w:rsidP="00EB6334"/>
          <w:p w14:paraId="4E3A1F3E" w14:textId="77777777" w:rsidR="002600FA" w:rsidRPr="005B735D" w:rsidRDefault="002600FA" w:rsidP="00EB6334"/>
        </w:tc>
      </w:tr>
      <w:tr w:rsidR="002600FA" w:rsidRPr="00921C04" w14:paraId="7D42EC67" w14:textId="77777777" w:rsidTr="00EB6334">
        <w:tc>
          <w:tcPr>
            <w:tcW w:w="1792" w:type="dxa"/>
          </w:tcPr>
          <w:p w14:paraId="307EF268" w14:textId="77777777" w:rsidR="002600FA" w:rsidRPr="00921C04" w:rsidRDefault="002600FA" w:rsidP="00EB6334">
            <w:r w:rsidRPr="00921C04">
              <w:t xml:space="preserve">Co-PI </w:t>
            </w:r>
          </w:p>
          <w:p w14:paraId="112656ED" w14:textId="77777777" w:rsidR="002600FA" w:rsidRPr="00921C04" w:rsidRDefault="002600FA" w:rsidP="00EB6334">
            <w:r w:rsidRPr="00921C04">
              <w:t>(if applicable)</w:t>
            </w:r>
          </w:p>
        </w:tc>
        <w:tc>
          <w:tcPr>
            <w:tcW w:w="3892" w:type="dxa"/>
          </w:tcPr>
          <w:p w14:paraId="06E17F18" w14:textId="77777777" w:rsidR="002600FA" w:rsidRPr="00921C04" w:rsidRDefault="002600FA" w:rsidP="00EB6334"/>
        </w:tc>
        <w:tc>
          <w:tcPr>
            <w:tcW w:w="3892" w:type="dxa"/>
          </w:tcPr>
          <w:p w14:paraId="13D569A7" w14:textId="77777777" w:rsidR="002600FA" w:rsidRPr="00921C04" w:rsidRDefault="002600FA" w:rsidP="00EB6334"/>
        </w:tc>
      </w:tr>
      <w:tr w:rsidR="002600FA" w:rsidRPr="00921C04" w14:paraId="124A5FE8" w14:textId="77777777" w:rsidTr="00EB6334">
        <w:tc>
          <w:tcPr>
            <w:tcW w:w="1792" w:type="dxa"/>
          </w:tcPr>
          <w:p w14:paraId="0B74293A" w14:textId="77777777" w:rsidR="002600FA" w:rsidRPr="00921C04" w:rsidRDefault="002600FA" w:rsidP="00EB6334">
            <w:r w:rsidRPr="00921C04">
              <w:lastRenderedPageBreak/>
              <w:t>Co-applicant</w:t>
            </w:r>
          </w:p>
          <w:p w14:paraId="025E48A7" w14:textId="77777777" w:rsidR="002600FA" w:rsidRPr="00921C04" w:rsidRDefault="002600FA" w:rsidP="00EB6334">
            <w:r w:rsidRPr="00921C04">
              <w:t>(if applicable)</w:t>
            </w:r>
          </w:p>
        </w:tc>
        <w:tc>
          <w:tcPr>
            <w:tcW w:w="3892" w:type="dxa"/>
          </w:tcPr>
          <w:p w14:paraId="7615D315" w14:textId="77777777" w:rsidR="002600FA" w:rsidRPr="00921C04" w:rsidRDefault="002600FA" w:rsidP="00EB6334"/>
        </w:tc>
        <w:tc>
          <w:tcPr>
            <w:tcW w:w="3892" w:type="dxa"/>
          </w:tcPr>
          <w:p w14:paraId="3E4FB11C" w14:textId="77777777" w:rsidR="002600FA" w:rsidRPr="00921C04" w:rsidRDefault="002600FA" w:rsidP="00EB6334"/>
        </w:tc>
      </w:tr>
      <w:tr w:rsidR="002600FA" w:rsidRPr="00921C04" w14:paraId="2D589C40" w14:textId="77777777" w:rsidTr="00EB6334">
        <w:tc>
          <w:tcPr>
            <w:tcW w:w="1792" w:type="dxa"/>
          </w:tcPr>
          <w:p w14:paraId="4A4E0DDD" w14:textId="77777777" w:rsidR="002600FA" w:rsidRPr="00921C04" w:rsidRDefault="002600FA" w:rsidP="00EB6334">
            <w:r w:rsidRPr="00921C04">
              <w:t>Co-applicant</w:t>
            </w:r>
          </w:p>
          <w:p w14:paraId="2F76B52C" w14:textId="77777777" w:rsidR="002600FA" w:rsidRPr="00921C04" w:rsidRDefault="002600FA" w:rsidP="00EB6334">
            <w:r w:rsidRPr="00921C04">
              <w:t>(if applicable)</w:t>
            </w:r>
          </w:p>
        </w:tc>
        <w:tc>
          <w:tcPr>
            <w:tcW w:w="3892" w:type="dxa"/>
          </w:tcPr>
          <w:p w14:paraId="7811234F" w14:textId="77777777" w:rsidR="002600FA" w:rsidRPr="00921C04" w:rsidRDefault="002600FA" w:rsidP="00EB6334"/>
        </w:tc>
        <w:tc>
          <w:tcPr>
            <w:tcW w:w="3892" w:type="dxa"/>
          </w:tcPr>
          <w:p w14:paraId="44849518" w14:textId="77777777" w:rsidR="002600FA" w:rsidRPr="00921C04" w:rsidRDefault="002600FA" w:rsidP="00EB6334"/>
        </w:tc>
      </w:tr>
      <w:tr w:rsidR="002600FA" w:rsidRPr="00921C04" w14:paraId="4D41E58A" w14:textId="77777777" w:rsidTr="00EB6334">
        <w:tc>
          <w:tcPr>
            <w:tcW w:w="1792" w:type="dxa"/>
          </w:tcPr>
          <w:p w14:paraId="3B6F179F" w14:textId="77777777" w:rsidR="002600FA" w:rsidRPr="00921C04" w:rsidRDefault="002600FA" w:rsidP="00EB6334">
            <w:r w:rsidRPr="00921C04">
              <w:t>Co-applicant</w:t>
            </w:r>
          </w:p>
          <w:p w14:paraId="2FE9F678" w14:textId="77777777" w:rsidR="002600FA" w:rsidRPr="00921C04" w:rsidRDefault="002600FA" w:rsidP="00EB6334">
            <w:r w:rsidRPr="00921C04">
              <w:t>(if applicable)</w:t>
            </w:r>
          </w:p>
        </w:tc>
        <w:tc>
          <w:tcPr>
            <w:tcW w:w="3892" w:type="dxa"/>
          </w:tcPr>
          <w:p w14:paraId="3DA12CEA" w14:textId="77777777" w:rsidR="002600FA" w:rsidRPr="00921C04" w:rsidRDefault="002600FA" w:rsidP="00EB6334"/>
        </w:tc>
        <w:tc>
          <w:tcPr>
            <w:tcW w:w="3892" w:type="dxa"/>
          </w:tcPr>
          <w:p w14:paraId="6B44E63F" w14:textId="77777777" w:rsidR="002600FA" w:rsidRPr="00921C04" w:rsidRDefault="002600FA" w:rsidP="00EB6334"/>
        </w:tc>
      </w:tr>
    </w:tbl>
    <w:p w14:paraId="740FB346" w14:textId="77777777" w:rsidR="002600FA" w:rsidRDefault="002600FA" w:rsidP="002600FA"/>
    <w:p w14:paraId="195D83F6" w14:textId="4BC55B1A" w:rsidR="002600FA" w:rsidRPr="00A45D70" w:rsidRDefault="00054D0C" w:rsidP="002600FA">
      <w:pPr>
        <w:rPr>
          <w:rFonts w:ascii="Cambria" w:hAnsi="Cambria"/>
          <w:b/>
          <w:bCs/>
          <w:color w:val="4F81BD"/>
          <w:sz w:val="26"/>
          <w:szCs w:val="26"/>
        </w:rPr>
      </w:pPr>
      <w:r>
        <w:rPr>
          <w:rFonts w:ascii="Cambria" w:hAnsi="Cambria"/>
          <w:b/>
          <w:bCs/>
          <w:color w:val="4F81BD"/>
          <w:sz w:val="26"/>
          <w:szCs w:val="26"/>
        </w:rPr>
        <w:t>Funding R</w:t>
      </w:r>
      <w:r w:rsidR="002600FA" w:rsidRPr="00A45D70">
        <w:rPr>
          <w:rFonts w:ascii="Cambria" w:hAnsi="Cambria"/>
          <w:b/>
          <w:bCs/>
          <w:color w:val="4F81BD"/>
          <w:sz w:val="26"/>
          <w:szCs w:val="26"/>
        </w:rPr>
        <w:t>equested</w:t>
      </w:r>
    </w:p>
    <w:p w14:paraId="339C2DD7" w14:textId="77777777" w:rsidR="002600FA" w:rsidRPr="00921C04" w:rsidRDefault="002600FA" w:rsidP="002600FA"/>
    <w:tbl>
      <w:tblPr>
        <w:tblStyle w:val="TableGrid"/>
        <w:tblW w:w="0" w:type="auto"/>
        <w:tblLook w:val="04A0" w:firstRow="1" w:lastRow="0" w:firstColumn="1" w:lastColumn="0" w:noHBand="0" w:noVBand="1"/>
      </w:tblPr>
      <w:tblGrid>
        <w:gridCol w:w="4432"/>
        <w:gridCol w:w="1462"/>
        <w:gridCol w:w="1476"/>
        <w:gridCol w:w="1486"/>
      </w:tblGrid>
      <w:tr w:rsidR="002600FA" w14:paraId="5EF4607D" w14:textId="77777777" w:rsidTr="00EB6334">
        <w:tc>
          <w:tcPr>
            <w:tcW w:w="4810" w:type="dxa"/>
          </w:tcPr>
          <w:p w14:paraId="099750CC" w14:textId="77777777" w:rsidR="002600FA" w:rsidRDefault="002600FA" w:rsidP="00EB6334">
            <w:r>
              <w:t>Cost to each Institution</w:t>
            </w:r>
          </w:p>
        </w:tc>
        <w:tc>
          <w:tcPr>
            <w:tcW w:w="1603" w:type="dxa"/>
          </w:tcPr>
          <w:p w14:paraId="0D0364B9" w14:textId="77777777" w:rsidR="002600FA" w:rsidRDefault="002600FA" w:rsidP="00EB6334">
            <w:pPr>
              <w:jc w:val="center"/>
            </w:pPr>
            <w:r>
              <w:t>£</w:t>
            </w:r>
          </w:p>
        </w:tc>
        <w:tc>
          <w:tcPr>
            <w:tcW w:w="1603" w:type="dxa"/>
          </w:tcPr>
          <w:p w14:paraId="563BD30A" w14:textId="77777777" w:rsidR="002600FA" w:rsidRDefault="002600FA" w:rsidP="00EB6334">
            <w:pPr>
              <w:jc w:val="center"/>
            </w:pPr>
            <w:r>
              <w:t>C$</w:t>
            </w:r>
          </w:p>
        </w:tc>
        <w:tc>
          <w:tcPr>
            <w:tcW w:w="1604" w:type="dxa"/>
          </w:tcPr>
          <w:p w14:paraId="501C0B90" w14:textId="77777777" w:rsidR="002600FA" w:rsidRDefault="002600FA" w:rsidP="00EB6334">
            <w:pPr>
              <w:jc w:val="center"/>
            </w:pPr>
            <w:r>
              <w:t>SFr</w:t>
            </w:r>
          </w:p>
        </w:tc>
      </w:tr>
      <w:tr w:rsidR="002600FA" w14:paraId="11CD7AED" w14:textId="77777777" w:rsidTr="00EB6334">
        <w:tc>
          <w:tcPr>
            <w:tcW w:w="4810" w:type="dxa"/>
          </w:tcPr>
          <w:p w14:paraId="602678B2" w14:textId="77777777" w:rsidR="002600FA" w:rsidRDefault="002600FA" w:rsidP="00EB6334">
            <w:r>
              <w:t>Oxford</w:t>
            </w:r>
          </w:p>
        </w:tc>
        <w:tc>
          <w:tcPr>
            <w:tcW w:w="1603" w:type="dxa"/>
          </w:tcPr>
          <w:p w14:paraId="3EF123F9" w14:textId="77777777" w:rsidR="002600FA" w:rsidRDefault="002600FA" w:rsidP="00EB6334"/>
        </w:tc>
        <w:tc>
          <w:tcPr>
            <w:tcW w:w="1603" w:type="dxa"/>
          </w:tcPr>
          <w:p w14:paraId="43FDE318" w14:textId="77777777" w:rsidR="002600FA" w:rsidRDefault="002600FA" w:rsidP="00EB6334"/>
        </w:tc>
        <w:tc>
          <w:tcPr>
            <w:tcW w:w="1604" w:type="dxa"/>
          </w:tcPr>
          <w:p w14:paraId="7DFDEF2D" w14:textId="77777777" w:rsidR="002600FA" w:rsidRDefault="002600FA" w:rsidP="00EB6334"/>
        </w:tc>
      </w:tr>
      <w:tr w:rsidR="002600FA" w14:paraId="28632A2A" w14:textId="77777777" w:rsidTr="00EB6334">
        <w:tc>
          <w:tcPr>
            <w:tcW w:w="4810" w:type="dxa"/>
          </w:tcPr>
          <w:p w14:paraId="12F18707" w14:textId="77777777" w:rsidR="002600FA" w:rsidRDefault="002600FA" w:rsidP="00EB6334">
            <w:r>
              <w:t>McGill</w:t>
            </w:r>
          </w:p>
        </w:tc>
        <w:tc>
          <w:tcPr>
            <w:tcW w:w="1603" w:type="dxa"/>
          </w:tcPr>
          <w:p w14:paraId="56D5E278" w14:textId="77777777" w:rsidR="002600FA" w:rsidRDefault="002600FA" w:rsidP="00EB6334"/>
        </w:tc>
        <w:tc>
          <w:tcPr>
            <w:tcW w:w="1603" w:type="dxa"/>
          </w:tcPr>
          <w:p w14:paraId="665E0802" w14:textId="77777777" w:rsidR="002600FA" w:rsidRDefault="002600FA" w:rsidP="00EB6334"/>
        </w:tc>
        <w:tc>
          <w:tcPr>
            <w:tcW w:w="1604" w:type="dxa"/>
          </w:tcPr>
          <w:p w14:paraId="40661C94" w14:textId="77777777" w:rsidR="002600FA" w:rsidRDefault="002600FA" w:rsidP="00EB6334"/>
        </w:tc>
      </w:tr>
      <w:tr w:rsidR="002600FA" w14:paraId="55640B2E" w14:textId="77777777" w:rsidTr="00EB6334">
        <w:tc>
          <w:tcPr>
            <w:tcW w:w="4810" w:type="dxa"/>
          </w:tcPr>
          <w:p w14:paraId="7F556346" w14:textId="77777777" w:rsidR="002600FA" w:rsidRDefault="002600FA" w:rsidP="00EB6334">
            <w:r>
              <w:t>ZNZ</w:t>
            </w:r>
          </w:p>
        </w:tc>
        <w:tc>
          <w:tcPr>
            <w:tcW w:w="1603" w:type="dxa"/>
          </w:tcPr>
          <w:p w14:paraId="09CE625A" w14:textId="77777777" w:rsidR="002600FA" w:rsidRDefault="002600FA" w:rsidP="00EB6334"/>
        </w:tc>
        <w:tc>
          <w:tcPr>
            <w:tcW w:w="1603" w:type="dxa"/>
          </w:tcPr>
          <w:p w14:paraId="4D9FDC27" w14:textId="77777777" w:rsidR="002600FA" w:rsidRDefault="002600FA" w:rsidP="00EB6334"/>
        </w:tc>
        <w:tc>
          <w:tcPr>
            <w:tcW w:w="1604" w:type="dxa"/>
          </w:tcPr>
          <w:p w14:paraId="08CDAC9F" w14:textId="77777777" w:rsidR="002600FA" w:rsidRDefault="002600FA" w:rsidP="00EB6334"/>
        </w:tc>
      </w:tr>
      <w:tr w:rsidR="002600FA" w14:paraId="766ABE51" w14:textId="77777777" w:rsidTr="00EB6334">
        <w:tc>
          <w:tcPr>
            <w:tcW w:w="4810" w:type="dxa"/>
          </w:tcPr>
          <w:p w14:paraId="7A0DBF1F" w14:textId="77777777" w:rsidR="002600FA" w:rsidRPr="00921C04" w:rsidRDefault="002600FA" w:rsidP="00EB6334">
            <w:r w:rsidRPr="00921C04">
              <w:t>Total cost of the activity</w:t>
            </w:r>
          </w:p>
        </w:tc>
        <w:tc>
          <w:tcPr>
            <w:tcW w:w="1603" w:type="dxa"/>
          </w:tcPr>
          <w:p w14:paraId="7C69F92D" w14:textId="77777777" w:rsidR="002600FA" w:rsidRDefault="002600FA" w:rsidP="00EB6334"/>
        </w:tc>
        <w:tc>
          <w:tcPr>
            <w:tcW w:w="1603" w:type="dxa"/>
          </w:tcPr>
          <w:p w14:paraId="0889295D" w14:textId="77777777" w:rsidR="002600FA" w:rsidRDefault="002600FA" w:rsidP="00EB6334"/>
        </w:tc>
        <w:tc>
          <w:tcPr>
            <w:tcW w:w="1604" w:type="dxa"/>
          </w:tcPr>
          <w:p w14:paraId="11048B90" w14:textId="77777777" w:rsidR="002600FA" w:rsidRDefault="002600FA" w:rsidP="00EB6334"/>
        </w:tc>
      </w:tr>
      <w:tr w:rsidR="002600FA" w14:paraId="4BED87AD" w14:textId="77777777" w:rsidTr="00EB6334">
        <w:tc>
          <w:tcPr>
            <w:tcW w:w="4810" w:type="dxa"/>
          </w:tcPr>
          <w:p w14:paraId="781433AA" w14:textId="77777777" w:rsidR="002600FA" w:rsidRPr="00921C04" w:rsidRDefault="002600FA" w:rsidP="00EB6334">
            <w:r w:rsidRPr="00921C04">
              <w:t>Other financial contribution to the activity</w:t>
            </w:r>
          </w:p>
        </w:tc>
        <w:tc>
          <w:tcPr>
            <w:tcW w:w="1603" w:type="dxa"/>
          </w:tcPr>
          <w:p w14:paraId="3A0F05E8" w14:textId="77777777" w:rsidR="002600FA" w:rsidRDefault="002600FA" w:rsidP="00EB6334"/>
        </w:tc>
        <w:tc>
          <w:tcPr>
            <w:tcW w:w="1603" w:type="dxa"/>
          </w:tcPr>
          <w:p w14:paraId="6D626693" w14:textId="77777777" w:rsidR="002600FA" w:rsidRDefault="002600FA" w:rsidP="00EB6334"/>
        </w:tc>
        <w:tc>
          <w:tcPr>
            <w:tcW w:w="1604" w:type="dxa"/>
          </w:tcPr>
          <w:p w14:paraId="730618AD" w14:textId="77777777" w:rsidR="002600FA" w:rsidRDefault="002600FA" w:rsidP="00EB6334"/>
        </w:tc>
      </w:tr>
      <w:tr w:rsidR="002600FA" w14:paraId="300365BD" w14:textId="77777777" w:rsidTr="00EB6334">
        <w:tc>
          <w:tcPr>
            <w:tcW w:w="4810" w:type="dxa"/>
          </w:tcPr>
          <w:p w14:paraId="727AE82A" w14:textId="77777777" w:rsidR="002600FA" w:rsidRPr="00921C04" w:rsidRDefault="002600FA" w:rsidP="00EB6334">
            <w:r w:rsidRPr="00921C04">
              <w:t>Amount requested in this application</w:t>
            </w:r>
          </w:p>
        </w:tc>
        <w:tc>
          <w:tcPr>
            <w:tcW w:w="1603" w:type="dxa"/>
          </w:tcPr>
          <w:p w14:paraId="702977CF" w14:textId="77777777" w:rsidR="002600FA" w:rsidRDefault="002600FA" w:rsidP="00EB6334"/>
        </w:tc>
        <w:tc>
          <w:tcPr>
            <w:tcW w:w="1603" w:type="dxa"/>
          </w:tcPr>
          <w:p w14:paraId="01E6376A" w14:textId="77777777" w:rsidR="002600FA" w:rsidRDefault="002600FA" w:rsidP="00EB6334"/>
        </w:tc>
        <w:tc>
          <w:tcPr>
            <w:tcW w:w="1604" w:type="dxa"/>
          </w:tcPr>
          <w:p w14:paraId="77E890AE" w14:textId="77777777" w:rsidR="002600FA" w:rsidRDefault="002600FA" w:rsidP="00EB6334"/>
        </w:tc>
      </w:tr>
    </w:tbl>
    <w:p w14:paraId="0D62DE40" w14:textId="77777777" w:rsidR="002600FA" w:rsidRDefault="002600FA" w:rsidP="002600FA"/>
    <w:p w14:paraId="24F507E1" w14:textId="77777777" w:rsidR="002600FA" w:rsidRPr="00921C04" w:rsidRDefault="002600FA" w:rsidP="002600FA">
      <w:r w:rsidRPr="00921C04">
        <w:t>Please append the following information to this application form</w:t>
      </w:r>
    </w:p>
    <w:p w14:paraId="673C1947" w14:textId="77777777" w:rsidR="002600FA" w:rsidRPr="00921C04" w:rsidRDefault="002600FA" w:rsidP="002600FA"/>
    <w:p w14:paraId="07A2B122" w14:textId="77777777" w:rsidR="002600FA" w:rsidRPr="00AB2D58" w:rsidRDefault="002600FA" w:rsidP="002600FA">
      <w:pPr>
        <w:pStyle w:val="ListParagraph1"/>
        <w:numPr>
          <w:ilvl w:val="0"/>
          <w:numId w:val="6"/>
        </w:numPr>
        <w:rPr>
          <w:b/>
          <w:sz w:val="24"/>
          <w:szCs w:val="24"/>
        </w:rPr>
      </w:pPr>
      <w:r w:rsidRPr="00921C04">
        <w:rPr>
          <w:sz w:val="24"/>
          <w:szCs w:val="24"/>
        </w:rPr>
        <w:t>A two-page description of the proposed activity and anticipated outcomes, including how it may lead to joint applications to external research funding organizations in future</w:t>
      </w:r>
      <w:r>
        <w:rPr>
          <w:sz w:val="24"/>
          <w:szCs w:val="24"/>
        </w:rPr>
        <w:t xml:space="preserve">. </w:t>
      </w:r>
      <w:r w:rsidRPr="00AB2D58">
        <w:rPr>
          <w:b/>
          <w:sz w:val="24"/>
          <w:szCs w:val="24"/>
        </w:rPr>
        <w:t>The added value of the joint effort must be demonstrated clearly.</w:t>
      </w:r>
    </w:p>
    <w:p w14:paraId="07720DE4" w14:textId="77777777" w:rsidR="002600FA" w:rsidRPr="00921C04" w:rsidRDefault="002600FA" w:rsidP="002600FA">
      <w:pPr>
        <w:pStyle w:val="ListParagraph1"/>
        <w:numPr>
          <w:ilvl w:val="0"/>
          <w:numId w:val="6"/>
        </w:numPr>
        <w:rPr>
          <w:sz w:val="24"/>
          <w:szCs w:val="24"/>
        </w:rPr>
      </w:pPr>
      <w:r w:rsidRPr="00921C04">
        <w:rPr>
          <w:sz w:val="24"/>
          <w:szCs w:val="24"/>
        </w:rPr>
        <w:t xml:space="preserve">CVs: For Principal Investigators, full CVs including a list of publications in the last five years. For listed co-applicants, a shorter CV (a publication list is not required). No CVs are required for those listed as beneficiaries of the proposed activity. </w:t>
      </w:r>
    </w:p>
    <w:p w14:paraId="3CD31171" w14:textId="73652648" w:rsidR="00ED20CD" w:rsidRDefault="002600FA" w:rsidP="00ED20CD">
      <w:pPr>
        <w:pStyle w:val="ListParagraph1"/>
        <w:numPr>
          <w:ilvl w:val="0"/>
          <w:numId w:val="6"/>
        </w:numPr>
        <w:rPr>
          <w:sz w:val="24"/>
          <w:szCs w:val="24"/>
        </w:rPr>
      </w:pPr>
      <w:r w:rsidRPr="00ED20CD">
        <w:rPr>
          <w:sz w:val="24"/>
          <w:szCs w:val="24"/>
        </w:rPr>
        <w:t xml:space="preserve"> A budget including a detailed justification of all costs requested. Please indicate which costs will be incurred by the each institution. Please calculate costs using </w:t>
      </w:r>
      <w:r w:rsidR="00ED20CD">
        <w:rPr>
          <w:sz w:val="24"/>
          <w:szCs w:val="24"/>
        </w:rPr>
        <w:t xml:space="preserve">the current exchange rate. </w:t>
      </w:r>
      <w:r w:rsidR="00ED20CD" w:rsidRPr="00ED20CD">
        <w:rPr>
          <w:sz w:val="24"/>
          <w:szCs w:val="24"/>
        </w:rPr>
        <w:t>The  maximum   amount  that  can  be  requested  for  a  workshop  is  C$10,000</w:t>
      </w:r>
      <w:r w:rsidR="00ED20CD">
        <w:rPr>
          <w:sz w:val="24"/>
          <w:szCs w:val="24"/>
        </w:rPr>
        <w:t xml:space="preserve"> and for a pilot project</w:t>
      </w:r>
      <w:r w:rsidR="00DD6601">
        <w:rPr>
          <w:sz w:val="24"/>
          <w:szCs w:val="24"/>
        </w:rPr>
        <w:t xml:space="preserve"> C$30,000</w:t>
      </w:r>
      <w:r w:rsidR="00ED20CD" w:rsidRPr="00ED20CD">
        <w:rPr>
          <w:sz w:val="24"/>
          <w:szCs w:val="24"/>
        </w:rPr>
        <w:t xml:space="preserve"> or the equivalent in £GB/SFr.</w:t>
      </w:r>
    </w:p>
    <w:p w14:paraId="0AEB5438" w14:textId="77777777" w:rsidR="00ED20CD" w:rsidRPr="00ED20CD" w:rsidRDefault="00ED20CD" w:rsidP="00ED20CD">
      <w:pPr>
        <w:pStyle w:val="ListParagraph1"/>
        <w:ind w:left="360"/>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6"/>
      </w:tblGrid>
      <w:tr w:rsidR="002600FA" w:rsidRPr="001713A4" w14:paraId="3E721E66" w14:textId="77777777" w:rsidTr="00EB6334">
        <w:tc>
          <w:tcPr>
            <w:tcW w:w="9576" w:type="dxa"/>
          </w:tcPr>
          <w:p w14:paraId="24039A24" w14:textId="77777777" w:rsidR="002600FA" w:rsidRDefault="002600FA" w:rsidP="00EB6334">
            <w:pPr>
              <w:pStyle w:val="ListParagraph1"/>
              <w:ind w:left="0"/>
              <w:rPr>
                <w:sz w:val="23"/>
                <w:szCs w:val="23"/>
              </w:rPr>
            </w:pPr>
          </w:p>
          <w:p w14:paraId="393D0BE7" w14:textId="5716639A" w:rsidR="002600FA" w:rsidRPr="00D463ED" w:rsidRDefault="002600FA" w:rsidP="00EB6334">
            <w:pPr>
              <w:pStyle w:val="ListParagraph1"/>
              <w:ind w:left="0"/>
            </w:pPr>
            <w:r w:rsidRPr="00D463ED">
              <w:t xml:space="preserve">Please email completed application form along with the attachments to </w:t>
            </w:r>
            <w:hyperlink r:id="rId6" w:history="1">
              <w:r w:rsidRPr="00D463ED">
                <w:rPr>
                  <w:rStyle w:val="Hyperlink"/>
                </w:rPr>
                <w:t>nicholas.irving@ndcn.ox.ac.uk</w:t>
              </w:r>
            </w:hyperlink>
            <w:r w:rsidR="00D463ED" w:rsidRPr="00D463ED">
              <w:t xml:space="preserve">, </w:t>
            </w:r>
            <w:hyperlink r:id="rId7" w:history="1">
              <w:r w:rsidR="00D463ED" w:rsidRPr="00D463ED">
                <w:rPr>
                  <w:rStyle w:val="Hyperlink"/>
                </w:rPr>
                <w:t>linda.rice@mcgill.ca</w:t>
              </w:r>
            </w:hyperlink>
            <w:r w:rsidR="00D463ED" w:rsidRPr="00D463ED">
              <w:t xml:space="preserve"> </w:t>
            </w:r>
            <w:r w:rsidRPr="00D463ED">
              <w:t xml:space="preserve">and </w:t>
            </w:r>
            <w:hyperlink r:id="rId8" w:history="1">
              <w:r w:rsidRPr="00D463ED">
                <w:rPr>
                  <w:rStyle w:val="Hyperlink"/>
                </w:rPr>
                <w:t xml:space="preserve">wknecht@neuroscience.uzh.ch </w:t>
              </w:r>
            </w:hyperlink>
            <w:r w:rsidRPr="00D463ED">
              <w:t>by the deadline</w:t>
            </w:r>
          </w:p>
          <w:p w14:paraId="75FE78ED" w14:textId="77777777" w:rsidR="002600FA" w:rsidRPr="001713A4" w:rsidRDefault="002600FA" w:rsidP="00EB6334">
            <w:pPr>
              <w:pStyle w:val="ListParagraph1"/>
              <w:ind w:left="0"/>
              <w:rPr>
                <w:sz w:val="24"/>
                <w:szCs w:val="24"/>
              </w:rPr>
            </w:pPr>
          </w:p>
        </w:tc>
      </w:tr>
    </w:tbl>
    <w:p w14:paraId="3B050419" w14:textId="77777777" w:rsidR="002600FA" w:rsidRDefault="002600FA" w:rsidP="002600FA">
      <w:pPr>
        <w:jc w:val="left"/>
        <w:rPr>
          <w:rFonts w:ascii="Tahoma" w:hAnsi="Tahoma"/>
        </w:rPr>
      </w:pPr>
    </w:p>
    <w:p w14:paraId="4A7B1324" w14:textId="77777777" w:rsidR="002600FA" w:rsidRDefault="002600FA" w:rsidP="002600FA">
      <w:pPr>
        <w:rPr>
          <w:rFonts w:ascii="Tahoma" w:hAnsi="Tahoma"/>
        </w:rPr>
      </w:pPr>
    </w:p>
    <w:p w14:paraId="7F76430C" w14:textId="0CD6C0B9" w:rsidR="002600FA" w:rsidRDefault="002600FA" w:rsidP="002600FA">
      <w:pPr>
        <w:rPr>
          <w:b/>
        </w:rPr>
      </w:pPr>
      <w:r>
        <w:rPr>
          <w:b/>
        </w:rPr>
        <w:br w:type="page"/>
      </w:r>
    </w:p>
    <w:p w14:paraId="76F72701" w14:textId="77777777" w:rsidR="002600FA" w:rsidRDefault="002600FA" w:rsidP="002600FA">
      <w:pPr>
        <w:rPr>
          <w:b/>
        </w:rPr>
      </w:pPr>
      <w:r>
        <w:rPr>
          <w:b/>
        </w:rPr>
        <w:lastRenderedPageBreak/>
        <w:t>Appendix 2 Assessment Criteria</w:t>
      </w:r>
    </w:p>
    <w:p w14:paraId="02A0571D" w14:textId="77777777" w:rsidR="002600FA" w:rsidRDefault="002600FA" w:rsidP="002600FA">
      <w:pPr>
        <w:rPr>
          <w:b/>
        </w:rPr>
      </w:pPr>
    </w:p>
    <w:p w14:paraId="5C3AAFDA" w14:textId="77777777" w:rsidR="002600FA" w:rsidRDefault="002600FA" w:rsidP="002600FA">
      <w:pPr>
        <w:rPr>
          <w:b/>
        </w:rPr>
      </w:pPr>
    </w:p>
    <w:p w14:paraId="52792081" w14:textId="059685F6" w:rsidR="002600FA" w:rsidRDefault="000D2BDC" w:rsidP="002600FA">
      <w:pPr>
        <w:rPr>
          <w:b/>
        </w:rPr>
      </w:pPr>
      <w:r>
        <w:rPr>
          <w:b/>
        </w:rPr>
        <w:t>Workshops/</w:t>
      </w:r>
      <w:r w:rsidR="002600FA">
        <w:rPr>
          <w:b/>
        </w:rPr>
        <w:t>Pilot Projects</w:t>
      </w:r>
    </w:p>
    <w:p w14:paraId="3175B01B" w14:textId="77777777" w:rsidR="00211058" w:rsidRDefault="00211058" w:rsidP="002600FA">
      <w:pPr>
        <w:rPr>
          <w:b/>
        </w:rPr>
      </w:pPr>
    </w:p>
    <w:p w14:paraId="0BE0CB56" w14:textId="77777777" w:rsidR="002600FA" w:rsidRDefault="002600FA" w:rsidP="002600FA">
      <w:pPr>
        <w:pStyle w:val="ListParagraph"/>
        <w:numPr>
          <w:ilvl w:val="0"/>
          <w:numId w:val="5"/>
        </w:numPr>
      </w:pPr>
      <w:r>
        <w:t>What is the standard</w:t>
      </w:r>
      <w:r w:rsidRPr="00D330F0">
        <w:t xml:space="preserve"> and originality of the proposed activity, including the extent to which the proposed activity represents an additional gain on top of what could be achieved by each group on their own</w:t>
      </w:r>
      <w:r>
        <w:t>?</w:t>
      </w:r>
    </w:p>
    <w:p w14:paraId="49E546E2" w14:textId="77777777" w:rsidR="002600FA" w:rsidRDefault="002600FA" w:rsidP="002600FA">
      <w:pPr>
        <w:pStyle w:val="ListParagraph"/>
        <w:numPr>
          <w:ilvl w:val="0"/>
          <w:numId w:val="5"/>
        </w:numPr>
      </w:pPr>
      <w:r>
        <w:t>What is the t</w:t>
      </w:r>
      <w:r w:rsidRPr="00D330F0">
        <w:t>rack record of the applicants</w:t>
      </w:r>
      <w:r>
        <w:t>?</w:t>
      </w:r>
    </w:p>
    <w:p w14:paraId="6CFFCBFD" w14:textId="086FE6B8" w:rsidR="002600FA" w:rsidRDefault="000D2BDC" w:rsidP="002600FA">
      <w:pPr>
        <w:pStyle w:val="ListParagraph"/>
        <w:numPr>
          <w:ilvl w:val="0"/>
          <w:numId w:val="5"/>
        </w:numPr>
      </w:pPr>
      <w:r>
        <w:t>Priority will be given to researchers who have not previously</w:t>
      </w:r>
      <w:r w:rsidR="002600FA">
        <w:t xml:space="preserve"> received an award from the </w:t>
      </w:r>
      <w:r>
        <w:t>partnership</w:t>
      </w:r>
      <w:r w:rsidR="002600FA">
        <w:t>.</w:t>
      </w:r>
    </w:p>
    <w:p w14:paraId="2C41A01F" w14:textId="77777777" w:rsidR="002600FA" w:rsidRDefault="002600FA" w:rsidP="002600FA">
      <w:pPr>
        <w:rPr>
          <w:b/>
        </w:rPr>
      </w:pPr>
    </w:p>
    <w:p w14:paraId="6FA23512" w14:textId="793AE48D" w:rsidR="002600FA" w:rsidRPr="001E1C02" w:rsidRDefault="002600FA" w:rsidP="002B5B80">
      <w:pPr>
        <w:tabs>
          <w:tab w:val="left" w:pos="996"/>
        </w:tabs>
      </w:pPr>
    </w:p>
    <w:p w14:paraId="09E1AD26" w14:textId="77777777" w:rsidR="00334B98" w:rsidRPr="00636957" w:rsidRDefault="00334B98" w:rsidP="00334B98">
      <w:pPr>
        <w:rPr>
          <w:rFonts w:cs="Tahoma"/>
        </w:rPr>
      </w:pPr>
    </w:p>
    <w:p w14:paraId="31BC4EC4" w14:textId="77777777" w:rsidR="000C7977" w:rsidRPr="00636957" w:rsidRDefault="000C7977"/>
    <w:sectPr w:rsidR="000C7977" w:rsidRPr="00636957" w:rsidSect="003441E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83709"/>
    <w:multiLevelType w:val="hybridMultilevel"/>
    <w:tmpl w:val="1DD26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6F1A61"/>
    <w:multiLevelType w:val="multilevel"/>
    <w:tmpl w:val="487624F2"/>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nsid w:val="2C2949A5"/>
    <w:multiLevelType w:val="hybridMultilevel"/>
    <w:tmpl w:val="20968888"/>
    <w:lvl w:ilvl="0" w:tplc="08070001">
      <w:start w:val="1"/>
      <w:numFmt w:val="bullet"/>
      <w:lvlText w:val=""/>
      <w:lvlJc w:val="left"/>
      <w:pPr>
        <w:ind w:left="1080" w:hanging="360"/>
      </w:pPr>
      <w:rPr>
        <w:rFonts w:ascii="Symbol" w:hAnsi="Symbol" w:hint="default"/>
      </w:rPr>
    </w:lvl>
    <w:lvl w:ilvl="1" w:tplc="08070003">
      <w:start w:val="1"/>
      <w:numFmt w:val="bullet"/>
      <w:lvlText w:val="o"/>
      <w:lvlJc w:val="left"/>
      <w:pPr>
        <w:ind w:left="1800" w:hanging="360"/>
      </w:pPr>
      <w:rPr>
        <w:rFonts w:ascii="Courier New" w:hAnsi="Courier New" w:cs="Courier New" w:hint="default"/>
      </w:rPr>
    </w:lvl>
    <w:lvl w:ilvl="2" w:tplc="08070005">
      <w:start w:val="1"/>
      <w:numFmt w:val="bullet"/>
      <w:lvlText w:val=""/>
      <w:lvlJc w:val="left"/>
      <w:pPr>
        <w:ind w:left="2520" w:hanging="360"/>
      </w:pPr>
      <w:rPr>
        <w:rFonts w:ascii="Wingdings" w:hAnsi="Wingdings" w:hint="default"/>
      </w:rPr>
    </w:lvl>
    <w:lvl w:ilvl="3" w:tplc="08070001">
      <w:start w:val="1"/>
      <w:numFmt w:val="bullet"/>
      <w:lvlText w:val=""/>
      <w:lvlJc w:val="left"/>
      <w:pPr>
        <w:ind w:left="3240" w:hanging="360"/>
      </w:pPr>
      <w:rPr>
        <w:rFonts w:ascii="Symbol" w:hAnsi="Symbol" w:hint="default"/>
      </w:rPr>
    </w:lvl>
    <w:lvl w:ilvl="4" w:tplc="08070003">
      <w:start w:val="1"/>
      <w:numFmt w:val="bullet"/>
      <w:lvlText w:val="o"/>
      <w:lvlJc w:val="left"/>
      <w:pPr>
        <w:ind w:left="3960" w:hanging="360"/>
      </w:pPr>
      <w:rPr>
        <w:rFonts w:ascii="Courier New" w:hAnsi="Courier New" w:cs="Courier New" w:hint="default"/>
      </w:rPr>
    </w:lvl>
    <w:lvl w:ilvl="5" w:tplc="08070005">
      <w:start w:val="1"/>
      <w:numFmt w:val="bullet"/>
      <w:lvlText w:val=""/>
      <w:lvlJc w:val="left"/>
      <w:pPr>
        <w:ind w:left="4680" w:hanging="360"/>
      </w:pPr>
      <w:rPr>
        <w:rFonts w:ascii="Wingdings" w:hAnsi="Wingdings" w:hint="default"/>
      </w:rPr>
    </w:lvl>
    <w:lvl w:ilvl="6" w:tplc="08070001">
      <w:start w:val="1"/>
      <w:numFmt w:val="bullet"/>
      <w:lvlText w:val=""/>
      <w:lvlJc w:val="left"/>
      <w:pPr>
        <w:ind w:left="5400" w:hanging="360"/>
      </w:pPr>
      <w:rPr>
        <w:rFonts w:ascii="Symbol" w:hAnsi="Symbol" w:hint="default"/>
      </w:rPr>
    </w:lvl>
    <w:lvl w:ilvl="7" w:tplc="08070003">
      <w:start w:val="1"/>
      <w:numFmt w:val="bullet"/>
      <w:lvlText w:val="o"/>
      <w:lvlJc w:val="left"/>
      <w:pPr>
        <w:ind w:left="6120" w:hanging="360"/>
      </w:pPr>
      <w:rPr>
        <w:rFonts w:ascii="Courier New" w:hAnsi="Courier New" w:cs="Courier New" w:hint="default"/>
      </w:rPr>
    </w:lvl>
    <w:lvl w:ilvl="8" w:tplc="08070005">
      <w:start w:val="1"/>
      <w:numFmt w:val="bullet"/>
      <w:lvlText w:val=""/>
      <w:lvlJc w:val="left"/>
      <w:pPr>
        <w:ind w:left="6840" w:hanging="360"/>
      </w:pPr>
      <w:rPr>
        <w:rFonts w:ascii="Wingdings" w:hAnsi="Wingdings" w:hint="default"/>
      </w:rPr>
    </w:lvl>
  </w:abstractNum>
  <w:abstractNum w:abstractNumId="3">
    <w:nsid w:val="35BE6CF7"/>
    <w:multiLevelType w:val="hybridMultilevel"/>
    <w:tmpl w:val="80FA5F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397452A1"/>
    <w:multiLevelType w:val="multilevel"/>
    <w:tmpl w:val="7CF6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D9696A"/>
    <w:multiLevelType w:val="hybridMultilevel"/>
    <w:tmpl w:val="1DD26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B13D89"/>
    <w:multiLevelType w:val="hybridMultilevel"/>
    <w:tmpl w:val="E24878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58FA45CA"/>
    <w:multiLevelType w:val="multilevel"/>
    <w:tmpl w:val="50E6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D124B9"/>
    <w:multiLevelType w:val="multilevel"/>
    <w:tmpl w:val="0FB6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796C9D"/>
    <w:multiLevelType w:val="multilevel"/>
    <w:tmpl w:val="1CBA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4"/>
  </w:num>
  <w:num w:numId="4">
    <w:abstractNumId w:val="8"/>
  </w:num>
  <w:num w:numId="5">
    <w:abstractNumId w:val="6"/>
  </w:num>
  <w:num w:numId="6">
    <w:abstractNumId w:val="5"/>
  </w:num>
  <w:num w:numId="7">
    <w:abstractNumId w:val="0"/>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B98"/>
    <w:rsid w:val="00012973"/>
    <w:rsid w:val="000301CA"/>
    <w:rsid w:val="00054D0C"/>
    <w:rsid w:val="000741FF"/>
    <w:rsid w:val="000C7977"/>
    <w:rsid w:val="000D2BDC"/>
    <w:rsid w:val="000F4BB2"/>
    <w:rsid w:val="001046A7"/>
    <w:rsid w:val="00131976"/>
    <w:rsid w:val="001B7AD7"/>
    <w:rsid w:val="00211058"/>
    <w:rsid w:val="00216866"/>
    <w:rsid w:val="002600FA"/>
    <w:rsid w:val="00294049"/>
    <w:rsid w:val="002A4597"/>
    <w:rsid w:val="002A75DA"/>
    <w:rsid w:val="002B5B80"/>
    <w:rsid w:val="0031135B"/>
    <w:rsid w:val="00334B98"/>
    <w:rsid w:val="003441E5"/>
    <w:rsid w:val="00381BE3"/>
    <w:rsid w:val="003A797A"/>
    <w:rsid w:val="003B2113"/>
    <w:rsid w:val="003E273A"/>
    <w:rsid w:val="0045102D"/>
    <w:rsid w:val="004C314B"/>
    <w:rsid w:val="005022F5"/>
    <w:rsid w:val="00534FD4"/>
    <w:rsid w:val="00592CF2"/>
    <w:rsid w:val="005B4676"/>
    <w:rsid w:val="005E18FB"/>
    <w:rsid w:val="006074F7"/>
    <w:rsid w:val="006247A9"/>
    <w:rsid w:val="00636957"/>
    <w:rsid w:val="00713F4C"/>
    <w:rsid w:val="00734202"/>
    <w:rsid w:val="00775AE8"/>
    <w:rsid w:val="008145BC"/>
    <w:rsid w:val="0082313C"/>
    <w:rsid w:val="00857506"/>
    <w:rsid w:val="008B433D"/>
    <w:rsid w:val="008F4786"/>
    <w:rsid w:val="00915A31"/>
    <w:rsid w:val="00924588"/>
    <w:rsid w:val="009341C4"/>
    <w:rsid w:val="00950961"/>
    <w:rsid w:val="00952BF9"/>
    <w:rsid w:val="00956A5F"/>
    <w:rsid w:val="009D26F6"/>
    <w:rsid w:val="00A86FD3"/>
    <w:rsid w:val="00AA5C54"/>
    <w:rsid w:val="00AB2A4C"/>
    <w:rsid w:val="00AB2BDB"/>
    <w:rsid w:val="00B04D87"/>
    <w:rsid w:val="00B374DA"/>
    <w:rsid w:val="00BB6998"/>
    <w:rsid w:val="00C42252"/>
    <w:rsid w:val="00C5384A"/>
    <w:rsid w:val="00C93BE1"/>
    <w:rsid w:val="00C964A6"/>
    <w:rsid w:val="00CE2AE9"/>
    <w:rsid w:val="00CF1BB3"/>
    <w:rsid w:val="00D463ED"/>
    <w:rsid w:val="00DA757D"/>
    <w:rsid w:val="00DD6601"/>
    <w:rsid w:val="00E22FE2"/>
    <w:rsid w:val="00E50848"/>
    <w:rsid w:val="00E55BF4"/>
    <w:rsid w:val="00E961E5"/>
    <w:rsid w:val="00EB2D8B"/>
    <w:rsid w:val="00ED077B"/>
    <w:rsid w:val="00ED20CD"/>
    <w:rsid w:val="00EE2F07"/>
    <w:rsid w:val="00EF40C4"/>
    <w:rsid w:val="00F5229B"/>
    <w:rsid w:val="00F54DF4"/>
    <w:rsid w:val="00F71DD1"/>
    <w:rsid w:val="00FA1EE6"/>
    <w:rsid w:val="00FA6D01"/>
    <w:rsid w:val="00FC4B0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A6F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B98"/>
    <w:pPr>
      <w:spacing w:line="210" w:lineRule="atLeast"/>
      <w:jc w:val="both"/>
    </w:pPr>
    <w:rPr>
      <w:rFonts w:asciiTheme="minorHAnsi" w:eastAsiaTheme="minorHAnsi" w:hAnsiTheme="minorHAnsi" w:cstheme="minorBidi"/>
      <w:sz w:val="22"/>
      <w:szCs w:val="22"/>
      <w:lang w:val="en-GB" w:eastAsia="en-US"/>
    </w:rPr>
  </w:style>
  <w:style w:type="paragraph" w:styleId="Heading2">
    <w:name w:val="heading 2"/>
    <w:basedOn w:val="Normal"/>
    <w:next w:val="Normal"/>
    <w:link w:val="Heading2Char"/>
    <w:qFormat/>
    <w:rsid w:val="002600FA"/>
    <w:pPr>
      <w:keepNext/>
      <w:keepLines/>
      <w:spacing w:before="200" w:line="240" w:lineRule="auto"/>
      <w:jc w:val="left"/>
      <w:outlineLvl w:val="1"/>
    </w:pPr>
    <w:rPr>
      <w:rFonts w:ascii="Cambria" w:eastAsia="Times New Roman" w:hAnsi="Cambria" w:cs="Times New Roman"/>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4B98"/>
    <w:rPr>
      <w:sz w:val="18"/>
      <w:szCs w:val="18"/>
    </w:rPr>
  </w:style>
  <w:style w:type="paragraph" w:styleId="CommentText">
    <w:name w:val="annotation text"/>
    <w:basedOn w:val="Normal"/>
    <w:link w:val="CommentTextChar"/>
    <w:uiPriority w:val="99"/>
    <w:semiHidden/>
    <w:unhideWhenUsed/>
    <w:rsid w:val="00334B98"/>
    <w:pPr>
      <w:spacing w:line="240" w:lineRule="auto"/>
    </w:pPr>
    <w:rPr>
      <w:sz w:val="24"/>
      <w:szCs w:val="24"/>
    </w:rPr>
  </w:style>
  <w:style w:type="character" w:customStyle="1" w:styleId="CommentTextChar">
    <w:name w:val="Comment Text Char"/>
    <w:basedOn w:val="DefaultParagraphFont"/>
    <w:link w:val="CommentText"/>
    <w:uiPriority w:val="99"/>
    <w:semiHidden/>
    <w:rsid w:val="00334B98"/>
    <w:rPr>
      <w:rFonts w:asciiTheme="minorHAnsi" w:eastAsiaTheme="minorHAnsi" w:hAnsiTheme="minorHAnsi" w:cstheme="minorBidi"/>
      <w:sz w:val="24"/>
      <w:szCs w:val="24"/>
      <w:lang w:val="en-GB" w:eastAsia="en-US"/>
    </w:rPr>
  </w:style>
  <w:style w:type="paragraph" w:styleId="BalloonText">
    <w:name w:val="Balloon Text"/>
    <w:basedOn w:val="Normal"/>
    <w:link w:val="BalloonTextChar"/>
    <w:uiPriority w:val="99"/>
    <w:semiHidden/>
    <w:unhideWhenUsed/>
    <w:rsid w:val="00334B98"/>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34B98"/>
    <w:rPr>
      <w:rFonts w:ascii="Lucida Grande" w:eastAsiaTheme="minorHAnsi" w:hAnsi="Lucida Grande" w:cstheme="minorBidi"/>
      <w:sz w:val="18"/>
      <w:szCs w:val="18"/>
      <w:lang w:val="en-GB" w:eastAsia="en-US"/>
    </w:rPr>
  </w:style>
  <w:style w:type="paragraph" w:customStyle="1" w:styleId="Default">
    <w:name w:val="Default"/>
    <w:rsid w:val="00C5384A"/>
    <w:pPr>
      <w:widowControl w:val="0"/>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E22FE2"/>
    <w:rPr>
      <w:b/>
      <w:bCs/>
      <w:sz w:val="20"/>
      <w:szCs w:val="20"/>
    </w:rPr>
  </w:style>
  <w:style w:type="character" w:customStyle="1" w:styleId="CommentSubjectChar">
    <w:name w:val="Comment Subject Char"/>
    <w:basedOn w:val="CommentTextChar"/>
    <w:link w:val="CommentSubject"/>
    <w:uiPriority w:val="99"/>
    <w:semiHidden/>
    <w:rsid w:val="00E22FE2"/>
    <w:rPr>
      <w:rFonts w:asciiTheme="minorHAnsi" w:eastAsiaTheme="minorHAnsi" w:hAnsiTheme="minorHAnsi" w:cstheme="minorBidi"/>
      <w:b/>
      <w:bCs/>
      <w:sz w:val="24"/>
      <w:szCs w:val="24"/>
      <w:lang w:val="en-GB" w:eastAsia="en-US"/>
    </w:rPr>
  </w:style>
  <w:style w:type="character" w:customStyle="1" w:styleId="Heading2Char">
    <w:name w:val="Heading 2 Char"/>
    <w:basedOn w:val="DefaultParagraphFont"/>
    <w:link w:val="Heading2"/>
    <w:rsid w:val="002600FA"/>
    <w:rPr>
      <w:rFonts w:ascii="Cambria" w:eastAsia="Times New Roman" w:hAnsi="Cambria"/>
      <w:b/>
      <w:bCs/>
      <w:color w:val="4F81BD"/>
      <w:sz w:val="26"/>
      <w:szCs w:val="26"/>
      <w:lang w:eastAsia="en-US"/>
    </w:rPr>
  </w:style>
  <w:style w:type="paragraph" w:styleId="ListParagraph">
    <w:name w:val="List Paragraph"/>
    <w:basedOn w:val="Normal"/>
    <w:uiPriority w:val="34"/>
    <w:qFormat/>
    <w:rsid w:val="002600FA"/>
    <w:pPr>
      <w:ind w:left="720"/>
      <w:contextualSpacing/>
    </w:pPr>
  </w:style>
  <w:style w:type="character" w:styleId="Hyperlink">
    <w:name w:val="Hyperlink"/>
    <w:unhideWhenUsed/>
    <w:rsid w:val="002600FA"/>
    <w:rPr>
      <w:color w:val="0000FF"/>
      <w:u w:val="single"/>
    </w:rPr>
  </w:style>
  <w:style w:type="paragraph" w:customStyle="1" w:styleId="ListParagraph1">
    <w:name w:val="List Paragraph1"/>
    <w:basedOn w:val="Normal"/>
    <w:uiPriority w:val="34"/>
    <w:qFormat/>
    <w:rsid w:val="002600FA"/>
    <w:pPr>
      <w:spacing w:line="240" w:lineRule="auto"/>
      <w:ind w:left="720"/>
      <w:contextualSpacing/>
      <w:jc w:val="left"/>
    </w:pPr>
    <w:rPr>
      <w:rFonts w:ascii="Calibri" w:eastAsia="Calibri" w:hAnsi="Calibri" w:cs="Times New Roman"/>
      <w:lang w:val="en-US"/>
    </w:rPr>
  </w:style>
  <w:style w:type="paragraph" w:styleId="Title">
    <w:name w:val="Title"/>
    <w:basedOn w:val="Normal"/>
    <w:next w:val="Normal"/>
    <w:link w:val="TitleChar"/>
    <w:qFormat/>
    <w:rsid w:val="002600FA"/>
    <w:pPr>
      <w:pBdr>
        <w:bottom w:val="single" w:sz="8" w:space="4" w:color="4F81BD"/>
      </w:pBdr>
      <w:spacing w:after="300" w:line="240" w:lineRule="auto"/>
      <w:contextualSpacing/>
      <w:jc w:val="left"/>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rsid w:val="002600FA"/>
    <w:rPr>
      <w:rFonts w:ascii="Cambria" w:eastAsia="Times New Roman" w:hAnsi="Cambria"/>
      <w:color w:val="17365D"/>
      <w:spacing w:val="5"/>
      <w:kern w:val="28"/>
      <w:sz w:val="52"/>
      <w:szCs w:val="52"/>
      <w:lang w:eastAsia="en-US"/>
    </w:rPr>
  </w:style>
  <w:style w:type="table" w:styleId="TableGrid">
    <w:name w:val="Table Grid"/>
    <w:basedOn w:val="TableNormal"/>
    <w:rsid w:val="002600FA"/>
    <w:rPr>
      <w:rFonts w:eastAsia="Times New Roman"/>
      <w:sz w:val="24"/>
      <w:szCs w:val="24"/>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B98"/>
    <w:pPr>
      <w:spacing w:line="210" w:lineRule="atLeast"/>
      <w:jc w:val="both"/>
    </w:pPr>
    <w:rPr>
      <w:rFonts w:asciiTheme="minorHAnsi" w:eastAsiaTheme="minorHAnsi" w:hAnsiTheme="minorHAnsi" w:cstheme="minorBidi"/>
      <w:sz w:val="22"/>
      <w:szCs w:val="22"/>
      <w:lang w:val="en-GB" w:eastAsia="en-US"/>
    </w:rPr>
  </w:style>
  <w:style w:type="paragraph" w:styleId="Heading2">
    <w:name w:val="heading 2"/>
    <w:basedOn w:val="Normal"/>
    <w:next w:val="Normal"/>
    <w:link w:val="Heading2Char"/>
    <w:qFormat/>
    <w:rsid w:val="002600FA"/>
    <w:pPr>
      <w:keepNext/>
      <w:keepLines/>
      <w:spacing w:before="200" w:line="240" w:lineRule="auto"/>
      <w:jc w:val="left"/>
      <w:outlineLvl w:val="1"/>
    </w:pPr>
    <w:rPr>
      <w:rFonts w:ascii="Cambria" w:eastAsia="Times New Roman" w:hAnsi="Cambria" w:cs="Times New Roman"/>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4B98"/>
    <w:rPr>
      <w:sz w:val="18"/>
      <w:szCs w:val="18"/>
    </w:rPr>
  </w:style>
  <w:style w:type="paragraph" w:styleId="CommentText">
    <w:name w:val="annotation text"/>
    <w:basedOn w:val="Normal"/>
    <w:link w:val="CommentTextChar"/>
    <w:uiPriority w:val="99"/>
    <w:semiHidden/>
    <w:unhideWhenUsed/>
    <w:rsid w:val="00334B98"/>
    <w:pPr>
      <w:spacing w:line="240" w:lineRule="auto"/>
    </w:pPr>
    <w:rPr>
      <w:sz w:val="24"/>
      <w:szCs w:val="24"/>
    </w:rPr>
  </w:style>
  <w:style w:type="character" w:customStyle="1" w:styleId="CommentTextChar">
    <w:name w:val="Comment Text Char"/>
    <w:basedOn w:val="DefaultParagraphFont"/>
    <w:link w:val="CommentText"/>
    <w:uiPriority w:val="99"/>
    <w:semiHidden/>
    <w:rsid w:val="00334B98"/>
    <w:rPr>
      <w:rFonts w:asciiTheme="minorHAnsi" w:eastAsiaTheme="minorHAnsi" w:hAnsiTheme="minorHAnsi" w:cstheme="minorBidi"/>
      <w:sz w:val="24"/>
      <w:szCs w:val="24"/>
      <w:lang w:val="en-GB" w:eastAsia="en-US"/>
    </w:rPr>
  </w:style>
  <w:style w:type="paragraph" w:styleId="BalloonText">
    <w:name w:val="Balloon Text"/>
    <w:basedOn w:val="Normal"/>
    <w:link w:val="BalloonTextChar"/>
    <w:uiPriority w:val="99"/>
    <w:semiHidden/>
    <w:unhideWhenUsed/>
    <w:rsid w:val="00334B98"/>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34B98"/>
    <w:rPr>
      <w:rFonts w:ascii="Lucida Grande" w:eastAsiaTheme="minorHAnsi" w:hAnsi="Lucida Grande" w:cstheme="minorBidi"/>
      <w:sz w:val="18"/>
      <w:szCs w:val="18"/>
      <w:lang w:val="en-GB" w:eastAsia="en-US"/>
    </w:rPr>
  </w:style>
  <w:style w:type="paragraph" w:customStyle="1" w:styleId="Default">
    <w:name w:val="Default"/>
    <w:rsid w:val="00C5384A"/>
    <w:pPr>
      <w:widowControl w:val="0"/>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E22FE2"/>
    <w:rPr>
      <w:b/>
      <w:bCs/>
      <w:sz w:val="20"/>
      <w:szCs w:val="20"/>
    </w:rPr>
  </w:style>
  <w:style w:type="character" w:customStyle="1" w:styleId="CommentSubjectChar">
    <w:name w:val="Comment Subject Char"/>
    <w:basedOn w:val="CommentTextChar"/>
    <w:link w:val="CommentSubject"/>
    <w:uiPriority w:val="99"/>
    <w:semiHidden/>
    <w:rsid w:val="00E22FE2"/>
    <w:rPr>
      <w:rFonts w:asciiTheme="minorHAnsi" w:eastAsiaTheme="minorHAnsi" w:hAnsiTheme="minorHAnsi" w:cstheme="minorBidi"/>
      <w:b/>
      <w:bCs/>
      <w:sz w:val="24"/>
      <w:szCs w:val="24"/>
      <w:lang w:val="en-GB" w:eastAsia="en-US"/>
    </w:rPr>
  </w:style>
  <w:style w:type="character" w:customStyle="1" w:styleId="Heading2Char">
    <w:name w:val="Heading 2 Char"/>
    <w:basedOn w:val="DefaultParagraphFont"/>
    <w:link w:val="Heading2"/>
    <w:rsid w:val="002600FA"/>
    <w:rPr>
      <w:rFonts w:ascii="Cambria" w:eastAsia="Times New Roman" w:hAnsi="Cambria"/>
      <w:b/>
      <w:bCs/>
      <w:color w:val="4F81BD"/>
      <w:sz w:val="26"/>
      <w:szCs w:val="26"/>
      <w:lang w:eastAsia="en-US"/>
    </w:rPr>
  </w:style>
  <w:style w:type="paragraph" w:styleId="ListParagraph">
    <w:name w:val="List Paragraph"/>
    <w:basedOn w:val="Normal"/>
    <w:uiPriority w:val="34"/>
    <w:qFormat/>
    <w:rsid w:val="002600FA"/>
    <w:pPr>
      <w:ind w:left="720"/>
      <w:contextualSpacing/>
    </w:pPr>
  </w:style>
  <w:style w:type="character" w:styleId="Hyperlink">
    <w:name w:val="Hyperlink"/>
    <w:unhideWhenUsed/>
    <w:rsid w:val="002600FA"/>
    <w:rPr>
      <w:color w:val="0000FF"/>
      <w:u w:val="single"/>
    </w:rPr>
  </w:style>
  <w:style w:type="paragraph" w:customStyle="1" w:styleId="ListParagraph1">
    <w:name w:val="List Paragraph1"/>
    <w:basedOn w:val="Normal"/>
    <w:uiPriority w:val="34"/>
    <w:qFormat/>
    <w:rsid w:val="002600FA"/>
    <w:pPr>
      <w:spacing w:line="240" w:lineRule="auto"/>
      <w:ind w:left="720"/>
      <w:contextualSpacing/>
      <w:jc w:val="left"/>
    </w:pPr>
    <w:rPr>
      <w:rFonts w:ascii="Calibri" w:eastAsia="Calibri" w:hAnsi="Calibri" w:cs="Times New Roman"/>
      <w:lang w:val="en-US"/>
    </w:rPr>
  </w:style>
  <w:style w:type="paragraph" w:styleId="Title">
    <w:name w:val="Title"/>
    <w:basedOn w:val="Normal"/>
    <w:next w:val="Normal"/>
    <w:link w:val="TitleChar"/>
    <w:qFormat/>
    <w:rsid w:val="002600FA"/>
    <w:pPr>
      <w:pBdr>
        <w:bottom w:val="single" w:sz="8" w:space="4" w:color="4F81BD"/>
      </w:pBdr>
      <w:spacing w:after="300" w:line="240" w:lineRule="auto"/>
      <w:contextualSpacing/>
      <w:jc w:val="left"/>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rsid w:val="002600FA"/>
    <w:rPr>
      <w:rFonts w:ascii="Cambria" w:eastAsia="Times New Roman" w:hAnsi="Cambria"/>
      <w:color w:val="17365D"/>
      <w:spacing w:val="5"/>
      <w:kern w:val="28"/>
      <w:sz w:val="52"/>
      <w:szCs w:val="52"/>
      <w:lang w:eastAsia="en-US"/>
    </w:rPr>
  </w:style>
  <w:style w:type="table" w:styleId="TableGrid">
    <w:name w:val="Table Grid"/>
    <w:basedOn w:val="TableNormal"/>
    <w:rsid w:val="002600FA"/>
    <w:rPr>
      <w:rFonts w:eastAsia="Times New Roman"/>
      <w:sz w:val="24"/>
      <w:szCs w:val="24"/>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527015">
      <w:bodyDiv w:val="1"/>
      <w:marLeft w:val="0"/>
      <w:marRight w:val="0"/>
      <w:marTop w:val="0"/>
      <w:marBottom w:val="0"/>
      <w:divBdr>
        <w:top w:val="none" w:sz="0" w:space="0" w:color="auto"/>
        <w:left w:val="none" w:sz="0" w:space="0" w:color="auto"/>
        <w:bottom w:val="none" w:sz="0" w:space="0" w:color="auto"/>
        <w:right w:val="none" w:sz="0" w:space="0" w:color="auto"/>
      </w:divBdr>
      <w:divsChild>
        <w:div w:id="1235355656">
          <w:marLeft w:val="0"/>
          <w:marRight w:val="0"/>
          <w:marTop w:val="0"/>
          <w:marBottom w:val="0"/>
          <w:divBdr>
            <w:top w:val="none" w:sz="0" w:space="0" w:color="auto"/>
            <w:left w:val="none" w:sz="0" w:space="0" w:color="auto"/>
            <w:bottom w:val="none" w:sz="0" w:space="0" w:color="auto"/>
            <w:right w:val="none" w:sz="0" w:space="0" w:color="auto"/>
          </w:divBdr>
        </w:div>
        <w:div w:id="616064815">
          <w:marLeft w:val="0"/>
          <w:marRight w:val="0"/>
          <w:marTop w:val="0"/>
          <w:marBottom w:val="0"/>
          <w:divBdr>
            <w:top w:val="none" w:sz="0" w:space="0" w:color="auto"/>
            <w:left w:val="none" w:sz="0" w:space="0" w:color="auto"/>
            <w:bottom w:val="none" w:sz="0" w:space="0" w:color="auto"/>
            <w:right w:val="none" w:sz="0" w:space="0" w:color="auto"/>
          </w:divBdr>
        </w:div>
        <w:div w:id="369379143">
          <w:marLeft w:val="0"/>
          <w:marRight w:val="0"/>
          <w:marTop w:val="0"/>
          <w:marBottom w:val="0"/>
          <w:divBdr>
            <w:top w:val="none" w:sz="0" w:space="0" w:color="auto"/>
            <w:left w:val="none" w:sz="0" w:space="0" w:color="auto"/>
            <w:bottom w:val="none" w:sz="0" w:space="0" w:color="auto"/>
            <w:right w:val="none" w:sz="0" w:space="0" w:color="auto"/>
          </w:divBdr>
        </w:div>
        <w:div w:id="73206030">
          <w:marLeft w:val="0"/>
          <w:marRight w:val="0"/>
          <w:marTop w:val="0"/>
          <w:marBottom w:val="0"/>
          <w:divBdr>
            <w:top w:val="none" w:sz="0" w:space="0" w:color="auto"/>
            <w:left w:val="none" w:sz="0" w:space="0" w:color="auto"/>
            <w:bottom w:val="none" w:sz="0" w:space="0" w:color="auto"/>
            <w:right w:val="none" w:sz="0" w:space="0" w:color="auto"/>
          </w:divBdr>
        </w:div>
        <w:div w:id="1774589488">
          <w:marLeft w:val="0"/>
          <w:marRight w:val="0"/>
          <w:marTop w:val="0"/>
          <w:marBottom w:val="0"/>
          <w:divBdr>
            <w:top w:val="none" w:sz="0" w:space="0" w:color="auto"/>
            <w:left w:val="none" w:sz="0" w:space="0" w:color="auto"/>
            <w:bottom w:val="none" w:sz="0" w:space="0" w:color="auto"/>
            <w:right w:val="none" w:sz="0" w:space="0" w:color="auto"/>
          </w:divBdr>
        </w:div>
        <w:div w:id="1042822203">
          <w:marLeft w:val="0"/>
          <w:marRight w:val="0"/>
          <w:marTop w:val="0"/>
          <w:marBottom w:val="0"/>
          <w:divBdr>
            <w:top w:val="none" w:sz="0" w:space="0" w:color="auto"/>
            <w:left w:val="none" w:sz="0" w:space="0" w:color="auto"/>
            <w:bottom w:val="none" w:sz="0" w:space="0" w:color="auto"/>
            <w:right w:val="none" w:sz="0" w:space="0" w:color="auto"/>
          </w:divBdr>
        </w:div>
        <w:div w:id="1467702429">
          <w:marLeft w:val="0"/>
          <w:marRight w:val="0"/>
          <w:marTop w:val="0"/>
          <w:marBottom w:val="0"/>
          <w:divBdr>
            <w:top w:val="none" w:sz="0" w:space="0" w:color="auto"/>
            <w:left w:val="none" w:sz="0" w:space="0" w:color="auto"/>
            <w:bottom w:val="none" w:sz="0" w:space="0" w:color="auto"/>
            <w:right w:val="none" w:sz="0" w:space="0" w:color="auto"/>
          </w:divBdr>
        </w:div>
        <w:div w:id="297491166">
          <w:marLeft w:val="0"/>
          <w:marRight w:val="0"/>
          <w:marTop w:val="0"/>
          <w:marBottom w:val="0"/>
          <w:divBdr>
            <w:top w:val="none" w:sz="0" w:space="0" w:color="auto"/>
            <w:left w:val="none" w:sz="0" w:space="0" w:color="auto"/>
            <w:bottom w:val="none" w:sz="0" w:space="0" w:color="auto"/>
            <w:right w:val="none" w:sz="0" w:space="0" w:color="auto"/>
          </w:divBdr>
        </w:div>
        <w:div w:id="653870568">
          <w:marLeft w:val="0"/>
          <w:marRight w:val="0"/>
          <w:marTop w:val="0"/>
          <w:marBottom w:val="0"/>
          <w:divBdr>
            <w:top w:val="none" w:sz="0" w:space="0" w:color="auto"/>
            <w:left w:val="none" w:sz="0" w:space="0" w:color="auto"/>
            <w:bottom w:val="none" w:sz="0" w:space="0" w:color="auto"/>
            <w:right w:val="none" w:sz="0" w:space="0" w:color="auto"/>
          </w:divBdr>
        </w:div>
        <w:div w:id="1826389346">
          <w:marLeft w:val="0"/>
          <w:marRight w:val="0"/>
          <w:marTop w:val="0"/>
          <w:marBottom w:val="0"/>
          <w:divBdr>
            <w:top w:val="none" w:sz="0" w:space="0" w:color="auto"/>
            <w:left w:val="none" w:sz="0" w:space="0" w:color="auto"/>
            <w:bottom w:val="none" w:sz="0" w:space="0" w:color="auto"/>
            <w:right w:val="none" w:sz="0" w:space="0" w:color="auto"/>
          </w:divBdr>
        </w:div>
        <w:div w:id="1065836684">
          <w:marLeft w:val="0"/>
          <w:marRight w:val="0"/>
          <w:marTop w:val="0"/>
          <w:marBottom w:val="0"/>
          <w:divBdr>
            <w:top w:val="none" w:sz="0" w:space="0" w:color="auto"/>
            <w:left w:val="none" w:sz="0" w:space="0" w:color="auto"/>
            <w:bottom w:val="none" w:sz="0" w:space="0" w:color="auto"/>
            <w:right w:val="none" w:sz="0" w:space="0" w:color="auto"/>
          </w:divBdr>
        </w:div>
        <w:div w:id="1857452308">
          <w:marLeft w:val="0"/>
          <w:marRight w:val="0"/>
          <w:marTop w:val="0"/>
          <w:marBottom w:val="0"/>
          <w:divBdr>
            <w:top w:val="none" w:sz="0" w:space="0" w:color="auto"/>
            <w:left w:val="none" w:sz="0" w:space="0" w:color="auto"/>
            <w:bottom w:val="none" w:sz="0" w:space="0" w:color="auto"/>
            <w:right w:val="none" w:sz="0" w:space="0" w:color="auto"/>
          </w:divBdr>
        </w:div>
      </w:divsChild>
    </w:div>
    <w:div w:id="603343375">
      <w:bodyDiv w:val="1"/>
      <w:marLeft w:val="0"/>
      <w:marRight w:val="0"/>
      <w:marTop w:val="0"/>
      <w:marBottom w:val="0"/>
      <w:divBdr>
        <w:top w:val="none" w:sz="0" w:space="0" w:color="auto"/>
        <w:left w:val="none" w:sz="0" w:space="0" w:color="auto"/>
        <w:bottom w:val="none" w:sz="0" w:space="0" w:color="auto"/>
        <w:right w:val="none" w:sz="0" w:space="0" w:color="auto"/>
      </w:divBdr>
    </w:div>
    <w:div w:id="20419285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knecht@neuroscience.uzh.ch" TargetMode="External"/><Relationship Id="rId3" Type="http://schemas.microsoft.com/office/2007/relationships/stylesWithEffects" Target="stylesWithEffects.xml"/><Relationship Id="rId7" Type="http://schemas.openxmlformats.org/officeDocument/2006/relationships/hyperlink" Target="mailto:linda.rice@mcgill.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cholas.irving@ndcn.ox.ac.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8988C503</Template>
  <TotalTime>0</TotalTime>
  <Pages>6</Pages>
  <Words>1371</Words>
  <Characters>8639</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McGill University</Company>
  <LinksUpToDate>false</LinksUpToDate>
  <CharactersWithSpaces>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J. Aguayo</dc:creator>
  <cp:lastModifiedBy>Wolfgang2 Knecht</cp:lastModifiedBy>
  <cp:revision>8</cp:revision>
  <dcterms:created xsi:type="dcterms:W3CDTF">2015-09-22T11:11:00Z</dcterms:created>
  <dcterms:modified xsi:type="dcterms:W3CDTF">2016-08-02T15:50:00Z</dcterms:modified>
</cp:coreProperties>
</file>